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DE" w:rsidRDefault="007C1EDE" w:rsidP="007C1EDE"/>
    <w:p w:rsidR="007C1EDE" w:rsidRPr="00F3626D" w:rsidRDefault="007C1EDE" w:rsidP="007C1EDE">
      <w:pPr>
        <w:pStyle w:val="Titreprogformation"/>
        <w:jc w:val="center"/>
        <w:rPr>
          <w:sz w:val="24"/>
          <w:szCs w:val="28"/>
        </w:rPr>
      </w:pPr>
      <w:r w:rsidRPr="00F3626D">
        <w:rPr>
          <w:i/>
          <w:color w:val="4F81BD" w:themeColor="accent1"/>
          <w:szCs w:val="36"/>
        </w:rPr>
        <w:t xml:space="preserve">PARCOURS DE FORMATION </w:t>
      </w:r>
      <w:r w:rsidR="00BA04ED" w:rsidRPr="00F3626D">
        <w:rPr>
          <w:i/>
          <w:color w:val="4F81BD" w:themeColor="accent1"/>
          <w:szCs w:val="36"/>
        </w:rPr>
        <w:t>IH2EF</w:t>
      </w:r>
      <w:r w:rsidRPr="00F3626D">
        <w:rPr>
          <w:i/>
          <w:color w:val="4F81BD" w:themeColor="accent1"/>
          <w:szCs w:val="36"/>
        </w:rPr>
        <w:t>/AMUE</w:t>
      </w:r>
      <w:r w:rsidRPr="00F3626D">
        <w:rPr>
          <w:i/>
          <w:color w:val="4F81BD" w:themeColor="accent1"/>
          <w:szCs w:val="36"/>
        </w:rPr>
        <w:br/>
      </w:r>
      <w:r w:rsidRPr="00F3626D">
        <w:rPr>
          <w:sz w:val="24"/>
          <w:szCs w:val="28"/>
        </w:rPr>
        <w:t>Cycle de formation des DSI</w:t>
      </w:r>
      <w:r w:rsidR="00A337F9" w:rsidRPr="00F3626D">
        <w:rPr>
          <w:sz w:val="24"/>
          <w:szCs w:val="28"/>
        </w:rPr>
        <w:t>-DSIN de l’ESR</w:t>
      </w:r>
    </w:p>
    <w:p w:rsidR="00A337F9" w:rsidRPr="00F3626D" w:rsidRDefault="007C1EDE" w:rsidP="00A337F9">
      <w:pPr>
        <w:pStyle w:val="Titreprogformation"/>
        <w:jc w:val="center"/>
        <w:rPr>
          <w:sz w:val="22"/>
        </w:rPr>
      </w:pPr>
      <w:r w:rsidRPr="00F3626D">
        <w:rPr>
          <w:sz w:val="22"/>
        </w:rPr>
        <w:t xml:space="preserve">Module </w:t>
      </w:r>
      <w:r w:rsidR="00A337F9" w:rsidRPr="00F3626D">
        <w:rPr>
          <w:sz w:val="22"/>
        </w:rPr>
        <w:t xml:space="preserve">A : enjeux et mise en œuvre d’un schéma directeur numérique </w:t>
      </w:r>
    </w:p>
    <w:p w:rsidR="00A337F9" w:rsidRPr="00F3626D" w:rsidRDefault="00A337F9" w:rsidP="00A337F9">
      <w:pPr>
        <w:pStyle w:val="Titreprogformation"/>
        <w:jc w:val="center"/>
        <w:rPr>
          <w:sz w:val="28"/>
        </w:rPr>
      </w:pPr>
      <w:proofErr w:type="gramStart"/>
      <w:r w:rsidRPr="00F3626D">
        <w:rPr>
          <w:sz w:val="22"/>
        </w:rPr>
        <w:t>et</w:t>
      </w:r>
      <w:proofErr w:type="gramEnd"/>
      <w:r w:rsidRPr="00F3626D">
        <w:rPr>
          <w:sz w:val="22"/>
        </w:rPr>
        <w:t xml:space="preserve"> ses différentes formes</w:t>
      </w:r>
    </w:p>
    <w:p w:rsidR="00A337F9" w:rsidRPr="00EE49D1" w:rsidRDefault="00A337F9" w:rsidP="00A337F9">
      <w:pPr>
        <w:pStyle w:val="Titreprogformation"/>
        <w:jc w:val="center"/>
        <w:rPr>
          <w:b w:val="0"/>
          <w:sz w:val="18"/>
        </w:rPr>
      </w:pPr>
      <w:r w:rsidRPr="00EE49D1">
        <w:rPr>
          <w:b w:val="0"/>
          <w:sz w:val="18"/>
        </w:rPr>
        <w:t>Du 4 au 6 Novembre 2020</w:t>
      </w:r>
    </w:p>
    <w:p w:rsidR="007C1EDE" w:rsidRPr="00EE49D1" w:rsidRDefault="00A337F9" w:rsidP="00A337F9">
      <w:pPr>
        <w:pStyle w:val="Titreprogformation"/>
        <w:jc w:val="center"/>
        <w:rPr>
          <w:b w:val="0"/>
          <w:sz w:val="18"/>
        </w:rPr>
      </w:pPr>
      <w:r w:rsidRPr="00EE49D1">
        <w:rPr>
          <w:b w:val="0"/>
          <w:sz w:val="18"/>
        </w:rPr>
        <w:t xml:space="preserve">A  l’IH2EF, 86360 </w:t>
      </w:r>
      <w:proofErr w:type="spellStart"/>
      <w:r w:rsidRPr="00EE49D1">
        <w:rPr>
          <w:b w:val="0"/>
          <w:sz w:val="18"/>
        </w:rPr>
        <w:t>Chasseneuil</w:t>
      </w:r>
      <w:proofErr w:type="spellEnd"/>
      <w:r w:rsidRPr="00EE49D1">
        <w:rPr>
          <w:b w:val="0"/>
          <w:sz w:val="18"/>
        </w:rPr>
        <w:t>-du-Poitou</w:t>
      </w:r>
    </w:p>
    <w:p w:rsidR="00A337F9" w:rsidRPr="00F3626D" w:rsidRDefault="00A337F9" w:rsidP="00A337F9">
      <w:pPr>
        <w:pStyle w:val="Titreprogformation"/>
        <w:jc w:val="center"/>
        <w:rPr>
          <w:b w:val="0"/>
          <w:sz w:val="22"/>
        </w:rPr>
      </w:pPr>
    </w:p>
    <w:p w:rsidR="00A337F9" w:rsidRPr="00EE49D1" w:rsidRDefault="00A337F9" w:rsidP="00A337F9">
      <w:pPr>
        <w:pStyle w:val="Titreprogformation"/>
        <w:jc w:val="center"/>
        <w:rPr>
          <w:b w:val="0"/>
          <w:sz w:val="20"/>
          <w:szCs w:val="20"/>
        </w:rPr>
      </w:pPr>
      <w:r w:rsidRPr="00EE49D1">
        <w:rPr>
          <w:b w:val="0"/>
          <w:sz w:val="20"/>
          <w:szCs w:val="20"/>
        </w:rPr>
        <w:t>Ce module a été construit en collaboration avec le MENSRI, la CPU, les associations professionnelles (ADSI-ESR et CSIESR) l’IH2EF et l’AMUE</w:t>
      </w:r>
    </w:p>
    <w:p w:rsidR="00A337F9" w:rsidRPr="00A337F9" w:rsidRDefault="00A337F9" w:rsidP="00A337F9">
      <w:pPr>
        <w:pStyle w:val="Titreprogformation"/>
        <w:jc w:val="center"/>
        <w:rPr>
          <w:b w:val="0"/>
          <w:sz w:val="24"/>
        </w:rPr>
      </w:pPr>
    </w:p>
    <w:p w:rsidR="00A337F9" w:rsidRDefault="00A337F9" w:rsidP="007C38A3">
      <w:pPr>
        <w:pStyle w:val="Sansinterligne"/>
        <w:jc w:val="both"/>
        <w:rPr>
          <w:rFonts w:ascii="Arial" w:hAnsi="Arial" w:cs="Arial"/>
          <w:sz w:val="20"/>
          <w:szCs w:val="20"/>
        </w:rPr>
      </w:pPr>
      <w:r>
        <w:rPr>
          <w:rFonts w:ascii="Arial" w:hAnsi="Arial" w:cs="Arial"/>
          <w:sz w:val="20"/>
          <w:szCs w:val="20"/>
        </w:rPr>
        <w:t xml:space="preserve">Les trois modules de formations des </w:t>
      </w:r>
      <w:proofErr w:type="spellStart"/>
      <w:r w:rsidRPr="00A337F9">
        <w:rPr>
          <w:rFonts w:ascii="Arial" w:hAnsi="Arial" w:cs="Arial"/>
          <w:sz w:val="20"/>
          <w:szCs w:val="20"/>
        </w:rPr>
        <w:t>directeur.trice</w:t>
      </w:r>
      <w:r>
        <w:rPr>
          <w:rFonts w:ascii="Arial" w:hAnsi="Arial" w:cs="Arial"/>
          <w:sz w:val="20"/>
          <w:szCs w:val="20"/>
        </w:rPr>
        <w:t>s</w:t>
      </w:r>
      <w:proofErr w:type="spellEnd"/>
      <w:r w:rsidRPr="00A337F9">
        <w:rPr>
          <w:rFonts w:ascii="Arial" w:hAnsi="Arial" w:cs="Arial"/>
          <w:sz w:val="20"/>
          <w:szCs w:val="20"/>
        </w:rPr>
        <w:t xml:space="preserve"> du système d’Information et numérique</w:t>
      </w:r>
      <w:r>
        <w:rPr>
          <w:rFonts w:ascii="Arial" w:hAnsi="Arial" w:cs="Arial"/>
          <w:sz w:val="20"/>
          <w:szCs w:val="20"/>
        </w:rPr>
        <w:t xml:space="preserve"> de l’Enseignement supérieur et de la recherche s’appuient sur le Référentiel de l’encadrement supérieur de l’Enseignement supérieur et de la recherche et de l’innovation</w:t>
      </w:r>
      <w:r>
        <w:rPr>
          <w:rStyle w:val="Appelnotedebasdep"/>
          <w:rFonts w:ascii="Arial" w:hAnsi="Arial" w:cs="Arial"/>
          <w:sz w:val="20"/>
          <w:szCs w:val="20"/>
        </w:rPr>
        <w:footnoteReference w:id="1"/>
      </w:r>
      <w:r w:rsidR="00BC738E">
        <w:rPr>
          <w:rFonts w:ascii="Arial" w:hAnsi="Arial" w:cs="Arial"/>
          <w:sz w:val="20"/>
          <w:szCs w:val="20"/>
        </w:rPr>
        <w:t xml:space="preserve"> : </w:t>
      </w:r>
    </w:p>
    <w:p w:rsidR="00A337F9" w:rsidRPr="00BC738E" w:rsidRDefault="00A337F9" w:rsidP="00A337F9">
      <w:pPr>
        <w:pStyle w:val="Sansinterligne"/>
        <w:ind w:left="708"/>
        <w:jc w:val="both"/>
        <w:rPr>
          <w:rFonts w:ascii="Arial" w:hAnsi="Arial" w:cs="Arial"/>
          <w:i/>
          <w:sz w:val="16"/>
          <w:szCs w:val="20"/>
        </w:rPr>
      </w:pPr>
      <w:r w:rsidRPr="00BC738E">
        <w:rPr>
          <w:rFonts w:ascii="Arial" w:hAnsi="Arial" w:cs="Arial"/>
          <w:i/>
          <w:sz w:val="16"/>
          <w:szCs w:val="20"/>
        </w:rPr>
        <w:t xml:space="preserve"> […]</w:t>
      </w:r>
    </w:p>
    <w:p w:rsidR="00A337F9" w:rsidRPr="00BC738E" w:rsidRDefault="00A337F9" w:rsidP="00A337F9">
      <w:pPr>
        <w:pStyle w:val="Sansinterligne"/>
        <w:ind w:left="708"/>
        <w:jc w:val="both"/>
        <w:rPr>
          <w:rFonts w:ascii="Arial" w:hAnsi="Arial" w:cs="Arial"/>
          <w:i/>
          <w:sz w:val="16"/>
          <w:szCs w:val="20"/>
        </w:rPr>
      </w:pPr>
      <w:r w:rsidRPr="00BC738E">
        <w:rPr>
          <w:rFonts w:ascii="Arial" w:hAnsi="Arial" w:cs="Arial"/>
          <w:i/>
          <w:sz w:val="16"/>
          <w:szCs w:val="20"/>
        </w:rPr>
        <w:t>La direction du système d’information et numérique est un service support dont l’efficacité repose en grande partie sur la capacité des utilisateurs à se servir des outils mis à leur disposition. C’est le sens d’un centre de ressources qui n’a d’effet que par l’appropriation de celles-ci par les utilisateurs. La dimension accompagnement, formation et communication est donc essentielle à la réussite de l’activité du service. Elle inclut en amont le recueil des attentes et difficultés et en aval la proposition de solutions nouvelles. En effet, les actions mises en œuvre par cette direction doivent être vulgarisées pour le plus grand nombre et l’offre de services numériques doit faire l’objet d’une promotion. »</w:t>
      </w:r>
    </w:p>
    <w:p w:rsidR="00A337F9" w:rsidRDefault="00A337F9" w:rsidP="007C38A3">
      <w:pPr>
        <w:pStyle w:val="Sansinterligne"/>
        <w:jc w:val="both"/>
        <w:rPr>
          <w:rFonts w:ascii="Arial" w:hAnsi="Arial" w:cs="Arial"/>
          <w:sz w:val="20"/>
          <w:szCs w:val="20"/>
        </w:rPr>
      </w:pPr>
    </w:p>
    <w:p w:rsidR="00D96182" w:rsidRDefault="00A337F9" w:rsidP="00BC738E">
      <w:pPr>
        <w:pStyle w:val="Sansinterligne"/>
        <w:jc w:val="both"/>
        <w:rPr>
          <w:rFonts w:ascii="Arial" w:hAnsi="Arial" w:cs="Arial"/>
          <w:sz w:val="20"/>
          <w:szCs w:val="20"/>
          <w:lang w:eastAsia="fr-FR"/>
        </w:rPr>
      </w:pPr>
      <w:r>
        <w:rPr>
          <w:rFonts w:ascii="Arial" w:hAnsi="Arial" w:cs="Arial"/>
          <w:sz w:val="20"/>
          <w:szCs w:val="20"/>
        </w:rPr>
        <w:t>Ce module A</w:t>
      </w:r>
      <w:r w:rsidR="00E97F47">
        <w:rPr>
          <w:rFonts w:ascii="Arial" w:hAnsi="Arial" w:cs="Arial"/>
          <w:sz w:val="20"/>
          <w:szCs w:val="20"/>
        </w:rPr>
        <w:t>, le premier</w:t>
      </w:r>
      <w:r w:rsidR="002D17BC">
        <w:rPr>
          <w:rFonts w:ascii="Arial" w:hAnsi="Arial" w:cs="Arial"/>
          <w:sz w:val="20"/>
          <w:szCs w:val="20"/>
        </w:rPr>
        <w:t xml:space="preserve"> d’une série de 3 </w:t>
      </w:r>
      <w:r w:rsidR="00BC738E">
        <w:rPr>
          <w:rFonts w:ascii="Arial" w:hAnsi="Arial" w:cs="Arial"/>
          <w:sz w:val="20"/>
          <w:szCs w:val="20"/>
        </w:rPr>
        <w:t xml:space="preserve">modules </w:t>
      </w:r>
      <w:r w:rsidR="002D17BC">
        <w:rPr>
          <w:rFonts w:ascii="Arial" w:hAnsi="Arial" w:cs="Arial"/>
          <w:sz w:val="20"/>
          <w:szCs w:val="20"/>
        </w:rPr>
        <w:t>complémentaires</w:t>
      </w:r>
      <w:r w:rsidR="00E97F47">
        <w:rPr>
          <w:rFonts w:ascii="Arial" w:hAnsi="Arial" w:cs="Arial"/>
          <w:sz w:val="20"/>
          <w:szCs w:val="20"/>
        </w:rPr>
        <w:t>,</w:t>
      </w:r>
      <w:r>
        <w:rPr>
          <w:rFonts w:ascii="Arial" w:hAnsi="Arial" w:cs="Arial"/>
          <w:sz w:val="20"/>
          <w:szCs w:val="20"/>
        </w:rPr>
        <w:t xml:space="preserve"> concerne plus particulièrement l</w:t>
      </w:r>
      <w:r w:rsidRPr="00A337F9">
        <w:rPr>
          <w:rFonts w:ascii="Arial" w:hAnsi="Arial" w:cs="Arial"/>
          <w:sz w:val="20"/>
          <w:szCs w:val="20"/>
        </w:rPr>
        <w:t>a complexité de la stratégie numérique universitaire</w:t>
      </w:r>
      <w:r>
        <w:rPr>
          <w:rFonts w:ascii="Arial" w:hAnsi="Arial" w:cs="Arial"/>
          <w:sz w:val="20"/>
          <w:szCs w:val="20"/>
        </w:rPr>
        <w:t xml:space="preserve"> et le rôle que peut avoir un(e) </w:t>
      </w:r>
      <w:proofErr w:type="spellStart"/>
      <w:r>
        <w:rPr>
          <w:rFonts w:ascii="Arial" w:hAnsi="Arial" w:cs="Arial"/>
          <w:sz w:val="20"/>
          <w:szCs w:val="20"/>
        </w:rPr>
        <w:t>directeur.trice</w:t>
      </w:r>
      <w:proofErr w:type="spellEnd"/>
      <w:r>
        <w:rPr>
          <w:rFonts w:ascii="Arial" w:hAnsi="Arial" w:cs="Arial"/>
          <w:sz w:val="20"/>
          <w:szCs w:val="20"/>
        </w:rPr>
        <w:t xml:space="preserve"> du s</w:t>
      </w:r>
      <w:r w:rsidRPr="00A337F9">
        <w:rPr>
          <w:rFonts w:ascii="Arial" w:hAnsi="Arial" w:cs="Arial"/>
          <w:sz w:val="20"/>
          <w:szCs w:val="20"/>
        </w:rPr>
        <w:t>ystème d’Information et numérique</w:t>
      </w:r>
      <w:r>
        <w:rPr>
          <w:rFonts w:ascii="Arial" w:hAnsi="Arial" w:cs="Arial"/>
          <w:sz w:val="20"/>
          <w:szCs w:val="20"/>
        </w:rPr>
        <w:t xml:space="preserve"> </w:t>
      </w:r>
      <w:r w:rsidRPr="00A337F9">
        <w:rPr>
          <w:rFonts w:ascii="Arial" w:hAnsi="Arial" w:cs="Arial"/>
          <w:sz w:val="20"/>
          <w:szCs w:val="20"/>
        </w:rPr>
        <w:t xml:space="preserve">: </w:t>
      </w:r>
      <w:r>
        <w:rPr>
          <w:rFonts w:ascii="Arial" w:hAnsi="Arial" w:cs="Arial"/>
          <w:sz w:val="20"/>
          <w:szCs w:val="20"/>
        </w:rPr>
        <w:t xml:space="preserve">comment s’en saisir ? </w:t>
      </w:r>
      <w:proofErr w:type="gramStart"/>
      <w:r>
        <w:rPr>
          <w:rFonts w:ascii="Arial" w:hAnsi="Arial" w:cs="Arial"/>
          <w:sz w:val="20"/>
          <w:szCs w:val="20"/>
        </w:rPr>
        <w:t>se</w:t>
      </w:r>
      <w:proofErr w:type="gramEnd"/>
      <w:r>
        <w:rPr>
          <w:rFonts w:ascii="Arial" w:hAnsi="Arial" w:cs="Arial"/>
          <w:sz w:val="20"/>
          <w:szCs w:val="20"/>
        </w:rPr>
        <w:t xml:space="preserve"> l’approprier ? </w:t>
      </w:r>
      <w:proofErr w:type="gramStart"/>
      <w:r>
        <w:rPr>
          <w:rFonts w:ascii="Arial" w:hAnsi="Arial" w:cs="Arial"/>
          <w:sz w:val="20"/>
          <w:szCs w:val="20"/>
        </w:rPr>
        <w:t>la</w:t>
      </w:r>
      <w:proofErr w:type="gramEnd"/>
      <w:r>
        <w:rPr>
          <w:rFonts w:ascii="Arial" w:hAnsi="Arial" w:cs="Arial"/>
          <w:sz w:val="20"/>
          <w:szCs w:val="20"/>
        </w:rPr>
        <w:t xml:space="preserve"> faire évoluer ? </w:t>
      </w:r>
      <w:proofErr w:type="gramStart"/>
      <w:r>
        <w:rPr>
          <w:rFonts w:ascii="Arial" w:hAnsi="Arial" w:cs="Arial"/>
          <w:sz w:val="20"/>
          <w:szCs w:val="20"/>
        </w:rPr>
        <w:t>et</w:t>
      </w:r>
      <w:proofErr w:type="gramEnd"/>
      <w:r w:rsidRPr="00A337F9">
        <w:rPr>
          <w:rFonts w:ascii="Arial" w:hAnsi="Arial" w:cs="Arial"/>
          <w:sz w:val="20"/>
          <w:szCs w:val="20"/>
        </w:rPr>
        <w:t xml:space="preserve"> la partager</w:t>
      </w:r>
      <w:r>
        <w:rPr>
          <w:rFonts w:ascii="Arial" w:hAnsi="Arial" w:cs="Arial"/>
          <w:sz w:val="20"/>
          <w:szCs w:val="20"/>
        </w:rPr>
        <w:t> ?</w:t>
      </w:r>
      <w:r w:rsidR="00F3626D">
        <w:rPr>
          <w:rFonts w:ascii="Arial" w:hAnsi="Arial" w:cs="Arial"/>
          <w:sz w:val="20"/>
          <w:szCs w:val="20"/>
        </w:rPr>
        <w:t xml:space="preserve"> </w:t>
      </w:r>
      <w:r w:rsidR="002D17BC">
        <w:rPr>
          <w:rFonts w:ascii="Arial" w:hAnsi="Arial" w:cs="Arial"/>
          <w:sz w:val="20"/>
          <w:szCs w:val="20"/>
        </w:rPr>
        <w:t>Appuyé sur des retours d’expériences d’établissements de plusieurs types, de réflexion de praticiens et de chercheur, il s’appuie sur d</w:t>
      </w:r>
      <w:r w:rsidR="002D17BC" w:rsidRPr="002D17BC">
        <w:rPr>
          <w:rFonts w:ascii="Arial" w:hAnsi="Arial" w:cs="Arial"/>
          <w:sz w:val="20"/>
          <w:szCs w:val="20"/>
        </w:rPr>
        <w:t>es outils au service de la stratégique numérique de son établissement</w:t>
      </w:r>
      <w:r w:rsidR="002D17BC">
        <w:rPr>
          <w:rFonts w:ascii="Arial" w:hAnsi="Arial" w:cs="Arial"/>
          <w:sz w:val="20"/>
          <w:szCs w:val="20"/>
        </w:rPr>
        <w:t xml:space="preserve"> (</w:t>
      </w:r>
      <w:r w:rsidR="002D17BC" w:rsidRPr="002D17BC">
        <w:rPr>
          <w:rFonts w:ascii="Arial" w:hAnsi="Arial" w:cs="Arial"/>
          <w:sz w:val="20"/>
          <w:szCs w:val="20"/>
        </w:rPr>
        <w:t>le S</w:t>
      </w:r>
      <w:r w:rsidR="002D17BC">
        <w:rPr>
          <w:rFonts w:ascii="Arial" w:hAnsi="Arial" w:cs="Arial"/>
          <w:sz w:val="20"/>
          <w:szCs w:val="20"/>
        </w:rPr>
        <w:t xml:space="preserve">chéma </w:t>
      </w:r>
      <w:r w:rsidR="002D17BC" w:rsidRPr="002D17BC">
        <w:rPr>
          <w:rFonts w:ascii="Arial" w:hAnsi="Arial" w:cs="Arial"/>
          <w:sz w:val="20"/>
          <w:szCs w:val="20"/>
        </w:rPr>
        <w:t>D</w:t>
      </w:r>
      <w:r w:rsidR="002D17BC">
        <w:rPr>
          <w:rFonts w:ascii="Arial" w:hAnsi="Arial" w:cs="Arial"/>
          <w:sz w:val="20"/>
          <w:szCs w:val="20"/>
        </w:rPr>
        <w:t xml:space="preserve">irecteur du </w:t>
      </w:r>
      <w:r w:rsidR="002D17BC" w:rsidRPr="002D17BC">
        <w:rPr>
          <w:rFonts w:ascii="Arial" w:hAnsi="Arial" w:cs="Arial"/>
          <w:sz w:val="20"/>
          <w:szCs w:val="20"/>
        </w:rPr>
        <w:t>N</w:t>
      </w:r>
      <w:r w:rsidR="002D17BC">
        <w:rPr>
          <w:rFonts w:ascii="Arial" w:hAnsi="Arial" w:cs="Arial"/>
          <w:sz w:val="20"/>
          <w:szCs w:val="20"/>
        </w:rPr>
        <w:t>umérique (SDN)</w:t>
      </w:r>
      <w:r w:rsidR="002D17BC" w:rsidRPr="002D17BC">
        <w:rPr>
          <w:rFonts w:ascii="Arial" w:hAnsi="Arial" w:cs="Arial"/>
          <w:sz w:val="20"/>
          <w:szCs w:val="20"/>
        </w:rPr>
        <w:t>, le portefeuille de projet, l’offre de service, la communication</w:t>
      </w:r>
      <w:r w:rsidR="002D17BC">
        <w:rPr>
          <w:rFonts w:ascii="Arial" w:hAnsi="Arial" w:cs="Arial"/>
          <w:sz w:val="20"/>
          <w:szCs w:val="20"/>
        </w:rPr>
        <w:t>, la gouvernance…) avec pour finalité de cette session, la construction d’une simulation d’un dialogue budgétaire mettant en œuvre une évolution du SDN</w:t>
      </w:r>
    </w:p>
    <w:p w:rsidR="002D17BC" w:rsidRPr="007C38A3" w:rsidRDefault="002D17BC" w:rsidP="00D96182">
      <w:pPr>
        <w:rPr>
          <w:rFonts w:ascii="Arial" w:hAnsi="Arial" w:cs="Arial"/>
          <w:sz w:val="20"/>
          <w:szCs w:val="20"/>
          <w:lang w:eastAsia="fr-FR"/>
        </w:rPr>
      </w:pPr>
    </w:p>
    <w:p w:rsidR="00D96182" w:rsidRPr="007C38A3" w:rsidRDefault="008B39B9" w:rsidP="00D96182">
      <w:pPr>
        <w:rPr>
          <w:rFonts w:ascii="Arial" w:hAnsi="Arial" w:cs="Arial"/>
          <w:b/>
          <w:sz w:val="20"/>
          <w:szCs w:val="20"/>
          <w:lang w:eastAsia="fr-FR"/>
        </w:rPr>
      </w:pPr>
      <w:r w:rsidRPr="007C38A3">
        <w:rPr>
          <w:rFonts w:ascii="Arial" w:hAnsi="Arial" w:cs="Arial"/>
          <w:b/>
          <w:sz w:val="20"/>
          <w:szCs w:val="20"/>
          <w:lang w:eastAsia="fr-FR"/>
        </w:rPr>
        <w:t>Structure</w:t>
      </w:r>
      <w:r w:rsidR="00504145">
        <w:rPr>
          <w:rFonts w:ascii="Arial" w:hAnsi="Arial" w:cs="Arial"/>
          <w:b/>
          <w:sz w:val="20"/>
          <w:szCs w:val="20"/>
          <w:lang w:eastAsia="fr-FR"/>
        </w:rPr>
        <w:t xml:space="preserve"> du module</w:t>
      </w:r>
    </w:p>
    <w:p w:rsidR="00D96182" w:rsidRPr="007C38A3" w:rsidRDefault="00D96182" w:rsidP="008746C3">
      <w:pPr>
        <w:rPr>
          <w:rFonts w:ascii="Arial" w:hAnsi="Arial" w:cs="Arial"/>
          <w:sz w:val="20"/>
          <w:szCs w:val="20"/>
          <w:lang w:eastAsia="fr-FR"/>
        </w:rPr>
      </w:pPr>
      <w:r w:rsidRPr="007C38A3">
        <w:rPr>
          <w:rFonts w:ascii="Arial" w:hAnsi="Arial" w:cs="Arial"/>
          <w:b/>
          <w:sz w:val="20"/>
          <w:szCs w:val="20"/>
          <w:lang w:eastAsia="fr-FR"/>
        </w:rPr>
        <w:t>Séquence 1</w:t>
      </w:r>
      <w:r w:rsidRPr="007C38A3">
        <w:rPr>
          <w:rFonts w:ascii="Arial" w:hAnsi="Arial" w:cs="Arial"/>
          <w:sz w:val="20"/>
          <w:szCs w:val="20"/>
          <w:lang w:eastAsia="fr-FR"/>
        </w:rPr>
        <w:t xml:space="preserve"> : Saisir les enjeux </w:t>
      </w:r>
      <w:r w:rsidR="00BC738E">
        <w:rPr>
          <w:rFonts w:ascii="Arial" w:hAnsi="Arial" w:cs="Arial"/>
          <w:sz w:val="20"/>
          <w:szCs w:val="20"/>
          <w:lang w:eastAsia="fr-FR"/>
        </w:rPr>
        <w:t>de la stratégie numérique pour le/la DSI</w:t>
      </w:r>
    </w:p>
    <w:p w:rsidR="00D96182" w:rsidRPr="007C38A3" w:rsidRDefault="00D96182" w:rsidP="008746C3">
      <w:pPr>
        <w:rPr>
          <w:rFonts w:ascii="Arial" w:hAnsi="Arial" w:cs="Arial"/>
          <w:sz w:val="20"/>
          <w:szCs w:val="20"/>
          <w:lang w:eastAsia="fr-FR"/>
        </w:rPr>
      </w:pPr>
      <w:r w:rsidRPr="007C38A3">
        <w:rPr>
          <w:rFonts w:ascii="Arial" w:hAnsi="Arial" w:cs="Arial"/>
          <w:b/>
          <w:sz w:val="20"/>
          <w:szCs w:val="20"/>
          <w:lang w:eastAsia="fr-FR"/>
        </w:rPr>
        <w:t>Séquence 2</w:t>
      </w:r>
      <w:r w:rsidRPr="007C38A3">
        <w:rPr>
          <w:rFonts w:ascii="Arial" w:hAnsi="Arial" w:cs="Arial"/>
          <w:sz w:val="20"/>
          <w:szCs w:val="20"/>
          <w:lang w:eastAsia="fr-FR"/>
        </w:rPr>
        <w:t xml:space="preserve"> : </w:t>
      </w:r>
      <w:r w:rsidR="00BC738E">
        <w:rPr>
          <w:rFonts w:ascii="Arial" w:hAnsi="Arial" w:cs="Arial"/>
          <w:sz w:val="20"/>
          <w:szCs w:val="20"/>
          <w:lang w:eastAsia="fr-FR"/>
        </w:rPr>
        <w:t>Se nourrir des pratiques des organisations</w:t>
      </w:r>
      <w:r w:rsidR="0082523C">
        <w:rPr>
          <w:rFonts w:ascii="Arial" w:hAnsi="Arial" w:cs="Arial"/>
          <w:sz w:val="20"/>
          <w:szCs w:val="20"/>
          <w:lang w:eastAsia="fr-FR"/>
        </w:rPr>
        <w:t xml:space="preserve"> publiques</w:t>
      </w:r>
      <w:r w:rsidR="00BC738E">
        <w:rPr>
          <w:rFonts w:ascii="Arial" w:hAnsi="Arial" w:cs="Arial"/>
          <w:sz w:val="20"/>
          <w:szCs w:val="20"/>
          <w:lang w:eastAsia="fr-FR"/>
        </w:rPr>
        <w:t xml:space="preserve"> existantes (Universités, Etablissements, Collectivités territoriales, Institutions…)</w:t>
      </w:r>
      <w:r w:rsidR="00F3626D">
        <w:rPr>
          <w:rFonts w:ascii="Arial" w:hAnsi="Arial" w:cs="Arial"/>
          <w:sz w:val="20"/>
          <w:szCs w:val="20"/>
          <w:lang w:eastAsia="fr-FR"/>
        </w:rPr>
        <w:t xml:space="preserve"> par </w:t>
      </w:r>
      <w:r w:rsidR="0082523C">
        <w:rPr>
          <w:rFonts w:ascii="Arial" w:hAnsi="Arial" w:cs="Arial"/>
          <w:sz w:val="20"/>
          <w:szCs w:val="20"/>
          <w:lang w:eastAsia="fr-FR"/>
        </w:rPr>
        <w:t>des retours</w:t>
      </w:r>
      <w:r w:rsidR="00F3626D">
        <w:rPr>
          <w:rFonts w:ascii="Arial" w:hAnsi="Arial" w:cs="Arial"/>
          <w:sz w:val="20"/>
          <w:szCs w:val="20"/>
          <w:lang w:eastAsia="fr-FR"/>
        </w:rPr>
        <w:t xml:space="preserve"> d’</w:t>
      </w:r>
      <w:r w:rsidR="0082523C">
        <w:rPr>
          <w:rFonts w:ascii="Arial" w:hAnsi="Arial" w:cs="Arial"/>
          <w:sz w:val="20"/>
          <w:szCs w:val="20"/>
          <w:lang w:eastAsia="fr-FR"/>
        </w:rPr>
        <w:t>expériences</w:t>
      </w:r>
    </w:p>
    <w:p w:rsidR="00D96182" w:rsidRDefault="008B39B9" w:rsidP="008746C3">
      <w:pPr>
        <w:rPr>
          <w:rFonts w:ascii="Arial" w:hAnsi="Arial" w:cs="Arial"/>
          <w:sz w:val="20"/>
          <w:szCs w:val="20"/>
          <w:lang w:eastAsia="fr-FR"/>
        </w:rPr>
      </w:pPr>
      <w:r w:rsidRPr="007C38A3">
        <w:rPr>
          <w:rFonts w:ascii="Arial" w:hAnsi="Arial" w:cs="Arial"/>
          <w:b/>
          <w:sz w:val="20"/>
          <w:szCs w:val="20"/>
          <w:lang w:eastAsia="fr-FR"/>
        </w:rPr>
        <w:t>Séquence 3</w:t>
      </w:r>
      <w:r w:rsidRPr="007C38A3">
        <w:rPr>
          <w:rFonts w:ascii="Arial" w:hAnsi="Arial" w:cs="Arial"/>
          <w:sz w:val="20"/>
          <w:szCs w:val="20"/>
          <w:lang w:eastAsia="fr-FR"/>
        </w:rPr>
        <w:t> :</w:t>
      </w:r>
      <w:r w:rsidR="0082523C">
        <w:rPr>
          <w:rFonts w:ascii="Arial" w:hAnsi="Arial" w:cs="Arial"/>
          <w:sz w:val="20"/>
          <w:szCs w:val="20"/>
          <w:lang w:eastAsia="fr-FR"/>
        </w:rPr>
        <w:t xml:space="preserve"> </w:t>
      </w:r>
      <w:r w:rsidR="00F3626D">
        <w:rPr>
          <w:rFonts w:ascii="Arial" w:hAnsi="Arial" w:cs="Arial"/>
          <w:sz w:val="20"/>
          <w:szCs w:val="20"/>
          <w:lang w:eastAsia="fr-FR"/>
        </w:rPr>
        <w:t>Se saisir de la stratégie numérique et se l’approprier.</w:t>
      </w:r>
    </w:p>
    <w:p w:rsidR="00F3626D" w:rsidRDefault="00F3626D" w:rsidP="008746C3">
      <w:pPr>
        <w:rPr>
          <w:rFonts w:ascii="Arial" w:hAnsi="Arial" w:cs="Arial"/>
          <w:sz w:val="20"/>
          <w:szCs w:val="20"/>
          <w:lang w:eastAsia="fr-FR"/>
        </w:rPr>
      </w:pPr>
      <w:r w:rsidRPr="00F3626D">
        <w:rPr>
          <w:rFonts w:ascii="Arial" w:hAnsi="Arial" w:cs="Arial"/>
          <w:b/>
          <w:sz w:val="20"/>
          <w:szCs w:val="20"/>
          <w:lang w:eastAsia="fr-FR"/>
        </w:rPr>
        <w:t xml:space="preserve">Séquence 4 : </w:t>
      </w:r>
      <w:r>
        <w:rPr>
          <w:rFonts w:ascii="Arial" w:hAnsi="Arial" w:cs="Arial"/>
          <w:sz w:val="20"/>
          <w:szCs w:val="20"/>
          <w:lang w:eastAsia="fr-FR"/>
        </w:rPr>
        <w:t>la faire évoluer et la partager.</w:t>
      </w:r>
    </w:p>
    <w:p w:rsidR="00F3626D" w:rsidRPr="00F3626D" w:rsidRDefault="00F3626D" w:rsidP="008746C3">
      <w:pPr>
        <w:rPr>
          <w:rFonts w:ascii="Arial" w:hAnsi="Arial" w:cs="Arial"/>
          <w:b/>
          <w:sz w:val="20"/>
          <w:szCs w:val="20"/>
          <w:lang w:eastAsia="fr-FR"/>
        </w:rPr>
      </w:pPr>
      <w:r w:rsidRPr="00F3626D">
        <w:rPr>
          <w:rFonts w:ascii="Arial" w:hAnsi="Arial" w:cs="Arial"/>
          <w:b/>
          <w:sz w:val="20"/>
          <w:szCs w:val="20"/>
          <w:lang w:eastAsia="fr-FR"/>
        </w:rPr>
        <w:t>Séquence 5</w:t>
      </w:r>
      <w:r>
        <w:rPr>
          <w:rFonts w:ascii="Arial" w:hAnsi="Arial" w:cs="Arial"/>
          <w:sz w:val="20"/>
          <w:szCs w:val="20"/>
          <w:lang w:eastAsia="fr-FR"/>
        </w:rPr>
        <w:t> : Simuler un dialogue budgétaire</w:t>
      </w:r>
    </w:p>
    <w:tbl>
      <w:tblPr>
        <w:tblStyle w:val="Grilledutableau"/>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118"/>
      </w:tblGrid>
      <w:tr w:rsidR="00F3626D" w:rsidRPr="00F3626D" w:rsidTr="00EE49D1">
        <w:tc>
          <w:tcPr>
            <w:tcW w:w="4820" w:type="dxa"/>
          </w:tcPr>
          <w:p w:rsidR="00F3626D" w:rsidRPr="00F3626D" w:rsidRDefault="00F3626D" w:rsidP="00F3626D">
            <w:pPr>
              <w:rPr>
                <w:rFonts w:ascii="Arial" w:hAnsi="Arial" w:cs="Arial"/>
                <w:b/>
                <w:sz w:val="18"/>
                <w:lang w:eastAsia="fr-FR"/>
              </w:rPr>
            </w:pPr>
            <w:r w:rsidRPr="00F3626D">
              <w:rPr>
                <w:rFonts w:ascii="Arial" w:hAnsi="Arial" w:cs="Arial"/>
                <w:b/>
                <w:sz w:val="18"/>
                <w:lang w:eastAsia="fr-FR"/>
              </w:rPr>
              <w:t xml:space="preserve">Intervenants fil rouge de la formation, </w:t>
            </w:r>
          </w:p>
          <w:p w:rsidR="00F3626D" w:rsidRPr="00F3626D" w:rsidRDefault="00F3626D" w:rsidP="00F3626D">
            <w:pPr>
              <w:rPr>
                <w:rFonts w:ascii="Arial" w:hAnsi="Arial" w:cs="Arial"/>
                <w:sz w:val="18"/>
              </w:rPr>
            </w:pPr>
            <w:r w:rsidRPr="00F3626D">
              <w:rPr>
                <w:rFonts w:ascii="Arial" w:hAnsi="Arial" w:cs="Arial"/>
                <w:b/>
                <w:sz w:val="18"/>
              </w:rPr>
              <w:t>Romuald Arnold</w:t>
            </w:r>
            <w:r w:rsidRPr="00F3626D">
              <w:rPr>
                <w:rFonts w:ascii="Arial" w:hAnsi="Arial" w:cs="Arial"/>
                <w:sz w:val="18"/>
              </w:rPr>
              <w:t xml:space="preserve">, </w:t>
            </w:r>
            <w:r w:rsidR="00DD5782" w:rsidRPr="00DD5782">
              <w:rPr>
                <w:rFonts w:ascii="Arial" w:hAnsi="Arial" w:cs="Arial"/>
                <w:sz w:val="18"/>
              </w:rPr>
              <w:t>DN Université Reims Champagne-Ardenne</w:t>
            </w:r>
            <w:r w:rsidR="00DD5782">
              <w:rPr>
                <w:rFonts w:ascii="Arial" w:hAnsi="Arial" w:cs="Arial"/>
                <w:sz w:val="18"/>
              </w:rPr>
              <w:t>, ADSI-ESR</w:t>
            </w:r>
          </w:p>
          <w:p w:rsidR="00F3626D" w:rsidRPr="00F3626D" w:rsidRDefault="00F3626D" w:rsidP="00EE49D1">
            <w:pPr>
              <w:rPr>
                <w:rFonts w:ascii="Arial" w:hAnsi="Arial" w:cs="Arial"/>
                <w:sz w:val="18"/>
                <w:lang w:eastAsia="fr-FR"/>
              </w:rPr>
            </w:pPr>
            <w:r w:rsidRPr="00F3626D">
              <w:rPr>
                <w:rFonts w:ascii="Arial" w:hAnsi="Arial" w:cs="Arial"/>
                <w:b/>
                <w:sz w:val="18"/>
              </w:rPr>
              <w:t>Emmanuelle Vivier</w:t>
            </w:r>
            <w:r w:rsidRPr="00F3626D">
              <w:rPr>
                <w:rFonts w:ascii="Arial" w:hAnsi="Arial" w:cs="Arial"/>
                <w:sz w:val="18"/>
              </w:rPr>
              <w:t xml:space="preserve">, DSI </w:t>
            </w:r>
            <w:r w:rsidR="00EE49D1" w:rsidRPr="00EE49D1">
              <w:rPr>
                <w:rFonts w:ascii="Arial" w:hAnsi="Arial" w:cs="Arial"/>
                <w:sz w:val="18"/>
              </w:rPr>
              <w:t>Uni</w:t>
            </w:r>
            <w:r w:rsidR="00EE49D1">
              <w:rPr>
                <w:rFonts w:ascii="Arial" w:hAnsi="Arial" w:cs="Arial"/>
                <w:sz w:val="18"/>
              </w:rPr>
              <w:t xml:space="preserve">versité de Picardie Jules </w:t>
            </w:r>
            <w:proofErr w:type="spellStart"/>
            <w:r w:rsidR="00EE49D1">
              <w:rPr>
                <w:rFonts w:ascii="Arial" w:hAnsi="Arial" w:cs="Arial"/>
                <w:sz w:val="18"/>
              </w:rPr>
              <w:t>Verne</w:t>
            </w:r>
            <w:proofErr w:type="gramStart"/>
            <w:r w:rsidRPr="00F3626D">
              <w:rPr>
                <w:rFonts w:ascii="Arial" w:hAnsi="Arial" w:cs="Arial"/>
                <w:sz w:val="18"/>
              </w:rPr>
              <w:t>,CSIESR</w:t>
            </w:r>
            <w:proofErr w:type="spellEnd"/>
            <w:proofErr w:type="gramEnd"/>
          </w:p>
        </w:tc>
        <w:tc>
          <w:tcPr>
            <w:tcW w:w="3118" w:type="dxa"/>
          </w:tcPr>
          <w:p w:rsidR="00F3626D" w:rsidRPr="00F3626D" w:rsidRDefault="00F3626D" w:rsidP="00D96182">
            <w:pPr>
              <w:rPr>
                <w:rFonts w:ascii="Arial" w:hAnsi="Arial" w:cs="Arial"/>
                <w:b/>
                <w:sz w:val="18"/>
                <w:lang w:eastAsia="fr-FR"/>
              </w:rPr>
            </w:pPr>
            <w:r w:rsidRPr="00F3626D">
              <w:rPr>
                <w:rFonts w:ascii="Arial" w:hAnsi="Arial" w:cs="Arial"/>
                <w:b/>
                <w:sz w:val="18"/>
                <w:lang w:eastAsia="fr-FR"/>
              </w:rPr>
              <w:t xml:space="preserve">En coordination avec </w:t>
            </w:r>
          </w:p>
          <w:p w:rsidR="00F3626D" w:rsidRDefault="00F3626D" w:rsidP="00D96182">
            <w:pPr>
              <w:rPr>
                <w:rFonts w:ascii="Arial" w:hAnsi="Arial" w:cs="Arial"/>
                <w:sz w:val="18"/>
                <w:lang w:eastAsia="fr-FR"/>
              </w:rPr>
            </w:pPr>
            <w:r w:rsidRPr="00F3626D">
              <w:rPr>
                <w:rFonts w:ascii="Arial" w:hAnsi="Arial" w:cs="Arial"/>
                <w:b/>
                <w:sz w:val="18"/>
                <w:lang w:eastAsia="fr-FR"/>
              </w:rPr>
              <w:t xml:space="preserve">David </w:t>
            </w:r>
            <w:proofErr w:type="spellStart"/>
            <w:r w:rsidRPr="00F3626D">
              <w:rPr>
                <w:rFonts w:ascii="Arial" w:hAnsi="Arial" w:cs="Arial"/>
                <w:b/>
                <w:sz w:val="18"/>
                <w:lang w:eastAsia="fr-FR"/>
              </w:rPr>
              <w:t>Févin</w:t>
            </w:r>
            <w:proofErr w:type="spellEnd"/>
            <w:r w:rsidRPr="00F3626D">
              <w:rPr>
                <w:rFonts w:ascii="Arial" w:hAnsi="Arial" w:cs="Arial"/>
                <w:b/>
                <w:sz w:val="18"/>
                <w:lang w:eastAsia="fr-FR"/>
              </w:rPr>
              <w:t>,</w:t>
            </w:r>
            <w:r>
              <w:rPr>
                <w:rFonts w:ascii="Arial" w:hAnsi="Arial" w:cs="Arial"/>
                <w:b/>
                <w:sz w:val="18"/>
                <w:lang w:eastAsia="fr-FR"/>
              </w:rPr>
              <w:t xml:space="preserve"> </w:t>
            </w:r>
            <w:r>
              <w:rPr>
                <w:rFonts w:ascii="Arial" w:hAnsi="Arial" w:cs="Arial"/>
                <w:sz w:val="18"/>
                <w:lang w:eastAsia="fr-FR"/>
              </w:rPr>
              <w:t>Ingénieur de formation, IH2EF</w:t>
            </w:r>
          </w:p>
          <w:p w:rsidR="00F3626D" w:rsidRPr="00F3626D" w:rsidRDefault="00F3626D" w:rsidP="00D96182">
            <w:pPr>
              <w:rPr>
                <w:rFonts w:ascii="Arial" w:hAnsi="Arial" w:cs="Arial"/>
                <w:sz w:val="18"/>
                <w:lang w:eastAsia="fr-FR"/>
              </w:rPr>
            </w:pPr>
            <w:r w:rsidRPr="00F3626D">
              <w:rPr>
                <w:rFonts w:ascii="Arial" w:hAnsi="Arial" w:cs="Arial"/>
                <w:b/>
                <w:sz w:val="18"/>
                <w:lang w:eastAsia="fr-FR"/>
              </w:rPr>
              <w:t>Bertrand MOCQUET</w:t>
            </w:r>
            <w:r>
              <w:rPr>
                <w:rFonts w:ascii="Arial" w:hAnsi="Arial" w:cs="Arial"/>
                <w:sz w:val="18"/>
                <w:lang w:eastAsia="fr-FR"/>
              </w:rPr>
              <w:t>, Chercheur au MICA, Expert numérique AMUE</w:t>
            </w:r>
          </w:p>
        </w:tc>
        <w:bookmarkStart w:id="0" w:name="_GoBack"/>
        <w:bookmarkEnd w:id="0"/>
      </w:tr>
    </w:tbl>
    <w:p w:rsidR="001D680D" w:rsidRPr="007C38A3" w:rsidRDefault="001D680D" w:rsidP="00D96182">
      <w:pPr>
        <w:rPr>
          <w:rFonts w:ascii="Arial" w:hAnsi="Arial" w:cs="Arial"/>
          <w:sz w:val="20"/>
          <w:szCs w:val="20"/>
          <w:lang w:eastAsia="fr-FR"/>
        </w:rPr>
      </w:pPr>
    </w:p>
    <w:p w:rsidR="00F3626D" w:rsidRDefault="00F3626D" w:rsidP="00F3626D">
      <w:pPr>
        <w:pStyle w:val="Sansinterligne"/>
        <w:jc w:val="both"/>
        <w:rPr>
          <w:i/>
          <w:sz w:val="18"/>
          <w:szCs w:val="18"/>
        </w:rPr>
      </w:pPr>
      <w:r>
        <w:rPr>
          <w:rFonts w:ascii="Arial" w:hAnsi="Arial" w:cs="Arial"/>
          <w:sz w:val="20"/>
          <w:szCs w:val="20"/>
        </w:rPr>
        <w:t xml:space="preserve">Dans cette nouvelle session, l’effort a été porté sur l’analyse du </w:t>
      </w:r>
      <w:r w:rsidRPr="00E97F47">
        <w:rPr>
          <w:rFonts w:ascii="Arial" w:hAnsi="Arial" w:cs="Arial"/>
          <w:sz w:val="20"/>
          <w:szCs w:val="20"/>
        </w:rPr>
        <w:t>réseau de connaissances, de compétences et de qualités personnelles</w:t>
      </w:r>
      <w:r>
        <w:rPr>
          <w:rFonts w:ascii="Arial" w:hAnsi="Arial" w:cs="Arial"/>
          <w:sz w:val="20"/>
          <w:szCs w:val="20"/>
        </w:rPr>
        <w:t xml:space="preserve"> mobilisé en regard </w:t>
      </w:r>
      <w:r w:rsidRPr="00E97F47">
        <w:rPr>
          <w:rFonts w:ascii="Arial" w:hAnsi="Arial" w:cs="Arial"/>
          <w:sz w:val="20"/>
          <w:szCs w:val="20"/>
        </w:rPr>
        <w:t>du référentiel DSI-DSIN</w:t>
      </w:r>
      <w:r>
        <w:rPr>
          <w:rFonts w:ascii="Arial" w:hAnsi="Arial" w:cs="Arial"/>
          <w:sz w:val="20"/>
          <w:szCs w:val="20"/>
        </w:rPr>
        <w:t>, ainsi à tout moment le formé peut se positionner par rapport à l’outil de formation.</w:t>
      </w:r>
    </w:p>
    <w:p w:rsidR="00F3626D" w:rsidRDefault="00F3626D" w:rsidP="00F3626D">
      <w:pPr>
        <w:pStyle w:val="Lgende"/>
        <w:keepNext/>
      </w:pPr>
      <w:r>
        <w:t xml:space="preserve">Tableau </w:t>
      </w:r>
      <w:r w:rsidR="00EE49D1">
        <w:rPr>
          <w:noProof/>
        </w:rPr>
        <w:fldChar w:fldCharType="begin"/>
      </w:r>
      <w:r w:rsidR="00EE49D1">
        <w:rPr>
          <w:noProof/>
        </w:rPr>
        <w:instrText xml:space="preserve"> SEQ Tableau \* ARABIC </w:instrText>
      </w:r>
      <w:r w:rsidR="00EE49D1">
        <w:rPr>
          <w:noProof/>
        </w:rPr>
        <w:fldChar w:fldCharType="separate"/>
      </w:r>
      <w:r>
        <w:rPr>
          <w:noProof/>
        </w:rPr>
        <w:t>1</w:t>
      </w:r>
      <w:r w:rsidR="00EE49D1">
        <w:rPr>
          <w:noProof/>
        </w:rPr>
        <w:fldChar w:fldCharType="end"/>
      </w:r>
      <w:r>
        <w:t xml:space="preserve"> : Mobilisation issue du référentiel DSI (légende en annexe) pour ce module A</w:t>
      </w:r>
    </w:p>
    <w:tbl>
      <w:tblPr>
        <w:tblStyle w:val="Grilledutableau1"/>
        <w:tblW w:w="9072" w:type="dxa"/>
        <w:tblInd w:w="-1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072"/>
      </w:tblGrid>
      <w:tr w:rsidR="00F3626D" w:rsidTr="00031ACA">
        <w:trPr>
          <w:trHeight w:val="288"/>
        </w:trPr>
        <w:tc>
          <w:tcPr>
            <w:tcW w:w="9072" w:type="dxa"/>
            <w:tcBorders>
              <w:top w:val="single" w:sz="8" w:space="0" w:color="000000"/>
              <w:left w:val="single" w:sz="8" w:space="0" w:color="000000"/>
              <w:bottom w:val="single" w:sz="6" w:space="0" w:color="000000"/>
              <w:right w:val="single" w:sz="8" w:space="0" w:color="000000"/>
            </w:tcBorders>
            <w:shd w:val="clear" w:color="auto" w:fill="ACB9CA"/>
            <w:noWrap/>
            <w:tcMar>
              <w:top w:w="15" w:type="dxa"/>
              <w:left w:w="15" w:type="dxa"/>
              <w:bottom w:w="0" w:type="dxa"/>
              <w:right w:w="15" w:type="dxa"/>
            </w:tcMar>
          </w:tcPr>
          <w:p w:rsidR="00F3626D" w:rsidRDefault="00F3626D" w:rsidP="00031ACA">
            <w:pPr>
              <w:spacing w:line="57" w:lineRule="atLeast"/>
              <w:jc w:val="center"/>
              <w:rPr>
                <w:sz w:val="16"/>
              </w:rPr>
            </w:pPr>
            <w:r>
              <w:rPr>
                <w:rFonts w:ascii="Calibri" w:eastAsia="Calibri" w:hAnsi="Calibri" w:cs="Calibri"/>
                <w:color w:val="000000"/>
                <w:sz w:val="16"/>
              </w:rPr>
              <w:t>Mobilisation du réseau de connaissances, de compétences et de qualités personnelles du référentiel DSI-DSIN</w:t>
            </w:r>
          </w:p>
        </w:tc>
      </w:tr>
    </w:tbl>
    <w:tbl>
      <w:tblPr>
        <w:tblStyle w:val="Grilledutableau"/>
        <w:tblW w:w="9072" w:type="dxa"/>
        <w:tblInd w:w="-1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58"/>
        <w:gridCol w:w="267"/>
        <w:gridCol w:w="259"/>
        <w:gridCol w:w="329"/>
        <w:gridCol w:w="335"/>
        <w:gridCol w:w="320"/>
        <w:gridCol w:w="359"/>
        <w:gridCol w:w="437"/>
        <w:gridCol w:w="305"/>
        <w:gridCol w:w="305"/>
        <w:gridCol w:w="259"/>
        <w:gridCol w:w="259"/>
        <w:gridCol w:w="259"/>
        <w:gridCol w:w="259"/>
        <w:gridCol w:w="259"/>
        <w:gridCol w:w="259"/>
        <w:gridCol w:w="280"/>
        <w:gridCol w:w="279"/>
        <w:gridCol w:w="279"/>
        <w:gridCol w:w="292"/>
        <w:gridCol w:w="292"/>
        <w:gridCol w:w="292"/>
        <w:gridCol w:w="292"/>
        <w:gridCol w:w="354"/>
        <w:gridCol w:w="425"/>
        <w:gridCol w:w="284"/>
        <w:gridCol w:w="425"/>
        <w:gridCol w:w="425"/>
        <w:gridCol w:w="425"/>
      </w:tblGrid>
      <w:tr w:rsidR="00F3626D" w:rsidTr="00031ACA">
        <w:trPr>
          <w:trHeight w:val="389"/>
        </w:trPr>
        <w:tc>
          <w:tcPr>
            <w:tcW w:w="1768" w:type="dxa"/>
            <w:gridSpan w:val="6"/>
            <w:tcBorders>
              <w:top w:val="single" w:sz="4" w:space="0" w:color="auto"/>
              <w:left w:val="single" w:sz="8" w:space="0" w:color="000000"/>
              <w:bottom w:val="single" w:sz="6" w:space="0" w:color="000000"/>
              <w:right w:val="single" w:sz="6" w:space="0" w:color="000000"/>
            </w:tcBorders>
            <w:shd w:val="clear" w:color="auto" w:fill="DBE5F1" w:themeFill="accent1" w:themeFillTint="33"/>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Domaine des Connaissances</w:t>
            </w:r>
          </w:p>
        </w:tc>
        <w:tc>
          <w:tcPr>
            <w:tcW w:w="3798" w:type="dxa"/>
            <w:gridSpan w:val="13"/>
            <w:tcBorders>
              <w:top w:val="single" w:sz="4" w:space="0" w:color="auto"/>
              <w:left w:val="none" w:sz="4" w:space="0" w:color="000000"/>
              <w:bottom w:val="none" w:sz="4" w:space="0" w:color="000000"/>
              <w:right w:val="none" w:sz="4" w:space="0" w:color="000000"/>
            </w:tcBorders>
            <w:shd w:val="clear" w:color="auto" w:fill="FDE9D9" w:themeFill="accent6" w:themeFillTint="33"/>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Domaine des Compétences</w:t>
            </w:r>
          </w:p>
        </w:tc>
        <w:tc>
          <w:tcPr>
            <w:tcW w:w="3506" w:type="dxa"/>
            <w:gridSpan w:val="10"/>
            <w:tcBorders>
              <w:top w:val="single" w:sz="4" w:space="0" w:color="auto"/>
              <w:left w:val="single" w:sz="6"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Default="00F3626D" w:rsidP="00031ACA">
            <w:pPr>
              <w:spacing w:line="57" w:lineRule="atLeast"/>
              <w:jc w:val="center"/>
              <w:rPr>
                <w:rFonts w:cs="Calibri"/>
                <w:color w:val="000000"/>
                <w:sz w:val="16"/>
              </w:rPr>
            </w:pPr>
            <w:r>
              <w:rPr>
                <w:rFonts w:cs="Calibri"/>
                <w:color w:val="000000"/>
                <w:sz w:val="16"/>
              </w:rPr>
              <w:t>Domaine des Qualités personnelles</w:t>
            </w:r>
          </w:p>
        </w:tc>
      </w:tr>
      <w:tr w:rsidR="00F3626D" w:rsidTr="00031ACA">
        <w:trPr>
          <w:trHeight w:val="965"/>
        </w:trPr>
        <w:tc>
          <w:tcPr>
            <w:tcW w:w="258" w:type="dxa"/>
            <w:vMerge w:val="restart"/>
            <w:tcBorders>
              <w:top w:val="none" w:sz="4" w:space="0" w:color="000000"/>
              <w:left w:val="single" w:sz="8" w:space="0" w:color="000000"/>
              <w:bottom w:val="single" w:sz="8" w:space="0" w:color="000000"/>
              <w:right w:val="single" w:sz="8" w:space="0" w:color="000000"/>
            </w:tcBorders>
            <w:shd w:val="clear" w:color="auto" w:fill="DBE5F1" w:themeFill="accent1"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C1</w:t>
            </w:r>
          </w:p>
        </w:tc>
        <w:tc>
          <w:tcPr>
            <w:tcW w:w="267" w:type="dxa"/>
            <w:vMerge w:val="restart"/>
            <w:tcBorders>
              <w:top w:val="none" w:sz="4" w:space="0" w:color="000000"/>
              <w:left w:val="single" w:sz="8" w:space="0" w:color="000000"/>
              <w:bottom w:val="single" w:sz="6" w:space="0" w:color="000000"/>
              <w:right w:val="single" w:sz="8" w:space="0" w:color="000000"/>
            </w:tcBorders>
            <w:shd w:val="clear" w:color="auto" w:fill="DBE5F1" w:themeFill="accent1"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C2</w:t>
            </w:r>
          </w:p>
        </w:tc>
        <w:tc>
          <w:tcPr>
            <w:tcW w:w="259" w:type="dxa"/>
            <w:vMerge w:val="restart"/>
            <w:tcBorders>
              <w:top w:val="none" w:sz="4" w:space="0" w:color="000000"/>
              <w:left w:val="single" w:sz="8" w:space="0" w:color="000000"/>
              <w:bottom w:val="single" w:sz="6" w:space="0" w:color="000000"/>
              <w:right w:val="single" w:sz="8" w:space="0" w:color="000000"/>
            </w:tcBorders>
            <w:shd w:val="clear" w:color="auto" w:fill="DBE5F1" w:themeFill="accent1"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C3</w:t>
            </w:r>
          </w:p>
        </w:tc>
        <w:tc>
          <w:tcPr>
            <w:tcW w:w="329" w:type="dxa"/>
            <w:vMerge w:val="restart"/>
            <w:tcBorders>
              <w:top w:val="none" w:sz="4" w:space="0" w:color="000000"/>
              <w:left w:val="single" w:sz="8" w:space="0" w:color="000000"/>
              <w:bottom w:val="single" w:sz="6" w:space="0" w:color="000000"/>
              <w:right w:val="single" w:sz="8" w:space="0" w:color="000000"/>
            </w:tcBorders>
            <w:shd w:val="clear" w:color="auto" w:fill="DBE5F1" w:themeFill="accent1"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C4</w:t>
            </w:r>
          </w:p>
        </w:tc>
        <w:tc>
          <w:tcPr>
            <w:tcW w:w="335" w:type="dxa"/>
            <w:vMerge w:val="restart"/>
            <w:tcBorders>
              <w:top w:val="none" w:sz="4" w:space="0" w:color="000000"/>
              <w:left w:val="single" w:sz="8" w:space="0" w:color="000000"/>
              <w:bottom w:val="single" w:sz="6" w:space="0" w:color="000000"/>
              <w:right w:val="single" w:sz="8" w:space="0" w:color="000000"/>
            </w:tcBorders>
            <w:shd w:val="clear" w:color="auto" w:fill="DBE5F1" w:themeFill="accent1"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C5</w:t>
            </w:r>
          </w:p>
        </w:tc>
        <w:tc>
          <w:tcPr>
            <w:tcW w:w="320" w:type="dxa"/>
            <w:vMerge w:val="restart"/>
            <w:tcBorders>
              <w:top w:val="none" w:sz="4" w:space="0" w:color="000000"/>
              <w:left w:val="single" w:sz="8" w:space="0" w:color="000000"/>
              <w:bottom w:val="single" w:sz="4" w:space="0" w:color="000000"/>
              <w:right w:val="single" w:sz="8" w:space="0" w:color="000000"/>
            </w:tcBorders>
            <w:shd w:val="clear" w:color="auto" w:fill="DBE5F1" w:themeFill="accent1"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C6</w:t>
            </w:r>
          </w:p>
        </w:tc>
        <w:tc>
          <w:tcPr>
            <w:tcW w:w="1406" w:type="dxa"/>
            <w:gridSpan w:val="4"/>
            <w:tcBorders>
              <w:top w:val="single" w:sz="6" w:space="0" w:color="000000"/>
              <w:left w:val="single" w:sz="8"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Compétences managériales</w:t>
            </w:r>
          </w:p>
        </w:tc>
        <w:tc>
          <w:tcPr>
            <w:tcW w:w="1554" w:type="dxa"/>
            <w:gridSpan w:val="6"/>
            <w:tcBorders>
              <w:top w:val="single" w:sz="6" w:space="0" w:color="000000"/>
              <w:left w:val="none" w:sz="4" w:space="0" w:color="000000"/>
              <w:bottom w:val="single" w:sz="6" w:space="0" w:color="000000"/>
              <w:right w:val="single" w:sz="6" w:space="0" w:color="000000"/>
            </w:tcBorders>
            <w:shd w:val="clear" w:color="auto" w:fill="FDE9D9" w:themeFill="accent6" w:themeFillTint="33"/>
            <w:noWrap/>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Compétences techniques</w:t>
            </w:r>
          </w:p>
        </w:tc>
        <w:tc>
          <w:tcPr>
            <w:tcW w:w="838" w:type="dxa"/>
            <w:gridSpan w:val="3"/>
            <w:tcBorders>
              <w:top w:val="single" w:sz="6"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Compétences de gestion de projet et conduite du changement</w:t>
            </w:r>
          </w:p>
        </w:tc>
        <w:tc>
          <w:tcPr>
            <w:tcW w:w="292" w:type="dxa"/>
            <w:vMerge w:val="restart"/>
            <w:tcBorders>
              <w:top w:val="none" w:sz="4" w:space="0" w:color="000000"/>
              <w:left w:val="single" w:sz="6" w:space="0" w:color="000000"/>
              <w:bottom w:val="single" w:sz="8"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QP1</w:t>
            </w:r>
          </w:p>
        </w:tc>
        <w:tc>
          <w:tcPr>
            <w:tcW w:w="292"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QP2</w:t>
            </w:r>
          </w:p>
        </w:tc>
        <w:tc>
          <w:tcPr>
            <w:tcW w:w="292"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QP3</w:t>
            </w:r>
          </w:p>
        </w:tc>
        <w:tc>
          <w:tcPr>
            <w:tcW w:w="292"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QP4</w:t>
            </w:r>
          </w:p>
        </w:tc>
        <w:tc>
          <w:tcPr>
            <w:tcW w:w="354"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QP5</w:t>
            </w:r>
          </w:p>
        </w:tc>
        <w:tc>
          <w:tcPr>
            <w:tcW w:w="425"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QP6</w:t>
            </w:r>
          </w:p>
        </w:tc>
        <w:tc>
          <w:tcPr>
            <w:tcW w:w="284"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QP7</w:t>
            </w:r>
          </w:p>
        </w:tc>
        <w:tc>
          <w:tcPr>
            <w:tcW w:w="425"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QP8</w:t>
            </w:r>
          </w:p>
        </w:tc>
        <w:tc>
          <w:tcPr>
            <w:tcW w:w="425"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QP9</w:t>
            </w:r>
          </w:p>
        </w:tc>
        <w:tc>
          <w:tcPr>
            <w:tcW w:w="425" w:type="dxa"/>
            <w:vMerge w:val="restart"/>
            <w:tcBorders>
              <w:top w:val="none" w:sz="4" w:space="0" w:color="000000"/>
              <w:left w:val="single" w:sz="8" w:space="0" w:color="000000"/>
              <w:bottom w:val="single" w:sz="6" w:space="0" w:color="000000"/>
              <w:right w:val="single" w:sz="8" w:space="0" w:color="000000"/>
            </w:tcBorders>
            <w:shd w:val="clear" w:color="auto" w:fill="D6DCE4"/>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QP10</w:t>
            </w:r>
          </w:p>
        </w:tc>
      </w:tr>
      <w:tr w:rsidR="00F3626D" w:rsidTr="00031ACA">
        <w:trPr>
          <w:trHeight w:val="288"/>
        </w:trPr>
        <w:tc>
          <w:tcPr>
            <w:tcW w:w="25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F3626D" w:rsidRDefault="00F3626D" w:rsidP="00031ACA"/>
        </w:tc>
        <w:tc>
          <w:tcPr>
            <w:tcW w:w="267"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F3626D" w:rsidRDefault="00F3626D" w:rsidP="00031ACA"/>
        </w:tc>
        <w:tc>
          <w:tcPr>
            <w:tcW w:w="259"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F3626D" w:rsidRDefault="00F3626D" w:rsidP="00031ACA"/>
        </w:tc>
        <w:tc>
          <w:tcPr>
            <w:tcW w:w="329"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F3626D" w:rsidRDefault="00F3626D" w:rsidP="00031ACA"/>
        </w:tc>
        <w:tc>
          <w:tcPr>
            <w:tcW w:w="335"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F3626D" w:rsidRDefault="00F3626D" w:rsidP="00031ACA"/>
        </w:tc>
        <w:tc>
          <w:tcPr>
            <w:tcW w:w="32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F3626D" w:rsidRDefault="00F3626D" w:rsidP="00031ACA"/>
        </w:tc>
        <w:tc>
          <w:tcPr>
            <w:tcW w:w="359" w:type="dxa"/>
            <w:tcBorders>
              <w:top w:val="none" w:sz="4" w:space="0" w:color="000000"/>
              <w:left w:val="single" w:sz="8"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CM1</w:t>
            </w:r>
          </w:p>
        </w:tc>
        <w:tc>
          <w:tcPr>
            <w:tcW w:w="437"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CM2</w:t>
            </w:r>
          </w:p>
        </w:tc>
        <w:tc>
          <w:tcPr>
            <w:tcW w:w="305"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CM3</w:t>
            </w:r>
          </w:p>
        </w:tc>
        <w:tc>
          <w:tcPr>
            <w:tcW w:w="305"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CM4</w:t>
            </w:r>
          </w:p>
        </w:tc>
        <w:tc>
          <w:tcPr>
            <w:tcW w:w="25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CT1</w:t>
            </w:r>
          </w:p>
        </w:tc>
        <w:tc>
          <w:tcPr>
            <w:tcW w:w="25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CT2</w:t>
            </w:r>
          </w:p>
        </w:tc>
        <w:tc>
          <w:tcPr>
            <w:tcW w:w="25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CT3</w:t>
            </w:r>
          </w:p>
        </w:tc>
        <w:tc>
          <w:tcPr>
            <w:tcW w:w="25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CT4</w:t>
            </w:r>
          </w:p>
        </w:tc>
        <w:tc>
          <w:tcPr>
            <w:tcW w:w="25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CT5</w:t>
            </w:r>
          </w:p>
        </w:tc>
        <w:tc>
          <w:tcPr>
            <w:tcW w:w="25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CT6</w:t>
            </w:r>
          </w:p>
        </w:tc>
        <w:tc>
          <w:tcPr>
            <w:tcW w:w="280"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CG1</w:t>
            </w:r>
          </w:p>
        </w:tc>
        <w:tc>
          <w:tcPr>
            <w:tcW w:w="279" w:type="dxa"/>
            <w:tcBorders>
              <w:top w:val="none" w:sz="4" w:space="0" w:color="000000"/>
              <w:left w:val="none" w:sz="4" w:space="0" w:color="000000"/>
              <w:bottom w:val="single" w:sz="6" w:space="0" w:color="000000"/>
              <w:right w:val="single" w:sz="6"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CG2</w:t>
            </w:r>
          </w:p>
        </w:tc>
        <w:tc>
          <w:tcPr>
            <w:tcW w:w="279" w:type="dxa"/>
            <w:tcBorders>
              <w:top w:val="none" w:sz="4" w:space="0" w:color="000000"/>
              <w:left w:val="none" w:sz="4" w:space="0" w:color="000000"/>
              <w:bottom w:val="single" w:sz="6" w:space="0" w:color="000000"/>
              <w:right w:val="single" w:sz="8" w:space="0" w:color="000000"/>
            </w:tcBorders>
            <w:shd w:val="clear" w:color="auto" w:fill="FDE9D9" w:themeFill="accent6" w:themeFillTint="33"/>
            <w:tcMar>
              <w:top w:w="15" w:type="dxa"/>
              <w:left w:w="15" w:type="dxa"/>
              <w:bottom w:w="0" w:type="dxa"/>
              <w:right w:w="15" w:type="dxa"/>
            </w:tcMar>
          </w:tcPr>
          <w:p w:rsidR="00F3626D" w:rsidRPr="00E97F47" w:rsidRDefault="00F3626D" w:rsidP="00031ACA">
            <w:pPr>
              <w:spacing w:line="57" w:lineRule="atLeast"/>
              <w:jc w:val="center"/>
              <w:rPr>
                <w:sz w:val="14"/>
              </w:rPr>
            </w:pPr>
            <w:r w:rsidRPr="00E97F47">
              <w:rPr>
                <w:rFonts w:cs="Calibri"/>
                <w:color w:val="000000"/>
                <w:sz w:val="14"/>
              </w:rPr>
              <w:t>CG3</w:t>
            </w:r>
          </w:p>
        </w:tc>
        <w:tc>
          <w:tcPr>
            <w:tcW w:w="292"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292"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292"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292"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354"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425"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284"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425"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425"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c>
          <w:tcPr>
            <w:tcW w:w="425" w:type="dxa"/>
            <w:vMerge/>
            <w:tcBorders>
              <w:top w:val="single" w:sz="8" w:space="0" w:color="000000"/>
              <w:left w:val="single" w:sz="8" w:space="0" w:color="000000"/>
              <w:bottom w:val="single" w:sz="8" w:space="0" w:color="000000"/>
              <w:right w:val="single" w:sz="8" w:space="0" w:color="000000"/>
            </w:tcBorders>
          </w:tcPr>
          <w:p w:rsidR="00F3626D" w:rsidRDefault="00F3626D" w:rsidP="00031ACA"/>
        </w:tc>
      </w:tr>
      <w:tr w:rsidR="00F3626D" w:rsidTr="00031ACA">
        <w:trPr>
          <w:trHeight w:val="227"/>
        </w:trPr>
        <w:tc>
          <w:tcPr>
            <w:tcW w:w="25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Mar>
              <w:top w:w="15" w:type="dxa"/>
              <w:left w:w="15" w:type="dxa"/>
              <w:bottom w:w="0" w:type="dxa"/>
              <w:right w:w="15" w:type="dxa"/>
            </w:tcMar>
          </w:tcPr>
          <w:p w:rsidR="00F3626D" w:rsidRDefault="00F3626D" w:rsidP="00031ACA">
            <w:pPr>
              <w:spacing w:line="57" w:lineRule="atLeast"/>
              <w:jc w:val="center"/>
              <w:rPr>
                <w:sz w:val="16"/>
              </w:rPr>
            </w:pPr>
          </w:p>
        </w:tc>
        <w:tc>
          <w:tcPr>
            <w:tcW w:w="2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25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32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3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32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359" w:type="dxa"/>
            <w:tcBorders>
              <w:top w:val="single" w:sz="8" w:space="0" w:color="000000"/>
              <w:left w:val="single" w:sz="8"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437"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305"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305"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25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25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25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25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25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25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280"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279" w:type="dxa"/>
            <w:tcBorders>
              <w:top w:val="single" w:sz="8" w:space="0" w:color="000000"/>
              <w:left w:val="single" w:sz="4" w:space="0" w:color="000000"/>
              <w:bottom w:val="single" w:sz="8" w:space="0" w:color="000000"/>
              <w:right w:val="single" w:sz="4"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r w:rsidR="00DD5782">
              <w:rPr>
                <w:rFonts w:cs="Calibri"/>
                <w:color w:val="000000"/>
                <w:sz w:val="16"/>
              </w:rPr>
              <w:t>x</w:t>
            </w:r>
          </w:p>
        </w:tc>
        <w:tc>
          <w:tcPr>
            <w:tcW w:w="279" w:type="dxa"/>
            <w:tcBorders>
              <w:top w:val="single" w:sz="8" w:space="0" w:color="000000"/>
              <w:left w:val="single" w:sz="4" w:space="0" w:color="000000"/>
              <w:bottom w:val="single" w:sz="8" w:space="0" w:color="000000"/>
              <w:right w:val="single" w:sz="8" w:space="0" w:color="000000"/>
            </w:tcBorders>
            <w:shd w:val="clear" w:color="auto" w:fill="FDE9D9" w:themeFill="accent6" w:themeFillTint="33"/>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292"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292"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292"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292"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w:t>
            </w:r>
          </w:p>
        </w:tc>
        <w:tc>
          <w:tcPr>
            <w:tcW w:w="354"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425"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284"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sz w:val="16"/>
              </w:rPr>
              <w:t>x</w:t>
            </w:r>
          </w:p>
        </w:tc>
        <w:tc>
          <w:tcPr>
            <w:tcW w:w="425"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x </w:t>
            </w:r>
          </w:p>
        </w:tc>
        <w:tc>
          <w:tcPr>
            <w:tcW w:w="425"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c>
          <w:tcPr>
            <w:tcW w:w="425" w:type="dxa"/>
            <w:tcBorders>
              <w:top w:val="single" w:sz="8" w:space="0" w:color="000000"/>
              <w:left w:val="single" w:sz="8" w:space="0" w:color="000000"/>
              <w:bottom w:val="single" w:sz="8" w:space="0" w:color="000000"/>
              <w:right w:val="single" w:sz="8" w:space="0" w:color="000000"/>
            </w:tcBorders>
            <w:shd w:val="clear" w:color="auto" w:fill="D6DCE4"/>
            <w:noWrap/>
            <w:tcMar>
              <w:top w:w="15" w:type="dxa"/>
              <w:left w:w="15" w:type="dxa"/>
              <w:bottom w:w="0" w:type="dxa"/>
              <w:right w:w="15" w:type="dxa"/>
            </w:tcMar>
          </w:tcPr>
          <w:p w:rsidR="00F3626D" w:rsidRDefault="00F3626D" w:rsidP="00031ACA">
            <w:pPr>
              <w:spacing w:line="57" w:lineRule="atLeast"/>
              <w:jc w:val="center"/>
              <w:rPr>
                <w:sz w:val="16"/>
              </w:rPr>
            </w:pPr>
            <w:r>
              <w:rPr>
                <w:rFonts w:cs="Calibri"/>
                <w:color w:val="000000"/>
                <w:sz w:val="16"/>
              </w:rPr>
              <w:t> x</w:t>
            </w:r>
          </w:p>
        </w:tc>
      </w:tr>
    </w:tbl>
    <w:p w:rsidR="00F3626D" w:rsidRDefault="00F3626D" w:rsidP="00F3626D">
      <w:pPr>
        <w:pStyle w:val="Sansinterligne"/>
        <w:jc w:val="both"/>
        <w:rPr>
          <w:rFonts w:ascii="Arial" w:hAnsi="Arial" w:cs="Arial"/>
          <w:sz w:val="20"/>
          <w:szCs w:val="20"/>
        </w:rPr>
      </w:pPr>
    </w:p>
    <w:p w:rsidR="00F3626D" w:rsidRDefault="00F3626D" w:rsidP="00F3626D">
      <w:pPr>
        <w:rPr>
          <w:lang w:eastAsia="fr-FR"/>
        </w:rPr>
      </w:pPr>
    </w:p>
    <w:p w:rsidR="00FA6196" w:rsidRDefault="00FA6196" w:rsidP="00FA6196">
      <w:pPr>
        <w:pStyle w:val="Titre2"/>
      </w:pPr>
      <w:r>
        <w:t>ANNEXE : Référentiel DSI-DSIN (légende de la codification du document)</w:t>
      </w:r>
    </w:p>
    <w:tbl>
      <w:tblPr>
        <w:tblStyle w:val="Grilledutableau"/>
        <w:tblW w:w="949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268"/>
        <w:gridCol w:w="284"/>
        <w:gridCol w:w="992"/>
        <w:gridCol w:w="6946"/>
      </w:tblGrid>
      <w:tr w:rsidR="00FA6196" w:rsidTr="00A2381B">
        <w:trPr>
          <w:trHeight w:val="288"/>
        </w:trPr>
        <w:tc>
          <w:tcPr>
            <w:tcW w:w="1268" w:type="dxa"/>
            <w:vMerge w:val="restart"/>
            <w:tcBorders>
              <w:top w:val="single" w:sz="6" w:space="0" w:color="000000"/>
              <w:left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rFonts w:cs="Calibri"/>
                <w:color w:val="000000"/>
                <w:sz w:val="18"/>
              </w:rPr>
            </w:pPr>
            <w:r>
              <w:rPr>
                <w:rFonts w:cs="Calibri"/>
                <w:color w:val="000000"/>
                <w:sz w:val="18"/>
              </w:rPr>
              <w:t>Domaine des Connaissances</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tc>
        <w:tc>
          <w:tcPr>
            <w:tcW w:w="284" w:type="dxa"/>
            <w:vMerge w:val="restart"/>
            <w:tcBorders>
              <w:top w:val="single" w:sz="6" w:space="0" w:color="000000"/>
              <w:left w:val="none" w:sz="4"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r>
              <w:rPr>
                <w:sz w:val="18"/>
              </w:rPr>
              <w:t>C</w:t>
            </w:r>
          </w:p>
        </w:tc>
        <w:tc>
          <w:tcPr>
            <w:tcW w:w="992" w:type="dxa"/>
            <w:tcBorders>
              <w:top w:val="single" w:sz="6"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C1</w:t>
            </w:r>
          </w:p>
        </w:tc>
        <w:tc>
          <w:tcPr>
            <w:tcW w:w="6946" w:type="dxa"/>
            <w:tcBorders>
              <w:top w:val="single" w:sz="6"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 xml:space="preserve">connaissance générale des enjeux, évolutions et cadre réglementaire des politiques publiques et de leurs processus de modernisation et d’évaluation dans un cadre </w:t>
            </w:r>
            <w:proofErr w:type="spellStart"/>
            <w:r>
              <w:rPr>
                <w:rFonts w:cs="Calibri"/>
                <w:color w:val="000000"/>
                <w:sz w:val="18"/>
              </w:rPr>
              <w:t>natio-nal</w:t>
            </w:r>
            <w:proofErr w:type="spellEnd"/>
            <w:r>
              <w:rPr>
                <w:rFonts w:cs="Calibri"/>
                <w:color w:val="000000"/>
                <w:sz w:val="18"/>
              </w:rPr>
              <w:t xml:space="preserve"> et international ;</w:t>
            </w:r>
          </w:p>
        </w:tc>
      </w:tr>
      <w:tr w:rsidR="00FA6196" w:rsidTr="00A2381B">
        <w:trPr>
          <w:trHeight w:val="288"/>
        </w:trPr>
        <w:tc>
          <w:tcPr>
            <w:tcW w:w="1268" w:type="dxa"/>
            <w:vMerge/>
            <w:tcBorders>
              <w:left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C2</w:t>
            </w:r>
          </w:p>
        </w:tc>
        <w:tc>
          <w:tcPr>
            <w:tcW w:w="6946"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connaissances approfondies de l’organisation de l’enseignement supérieur et de la recherche et de l’innovation (ESRI) et de la sociologie des métiers et des organisations universitaires ;</w:t>
            </w:r>
          </w:p>
        </w:tc>
      </w:tr>
      <w:tr w:rsidR="00FA6196" w:rsidTr="00A2381B">
        <w:trPr>
          <w:trHeight w:val="288"/>
        </w:trPr>
        <w:tc>
          <w:tcPr>
            <w:tcW w:w="1268" w:type="dxa"/>
            <w:vMerge/>
            <w:tcBorders>
              <w:left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C3</w:t>
            </w:r>
          </w:p>
        </w:tc>
        <w:tc>
          <w:tcPr>
            <w:tcW w:w="6946"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connaissances budgétaires, financières, des marchés publics et de management des ressources humaines ;</w:t>
            </w:r>
          </w:p>
        </w:tc>
      </w:tr>
      <w:tr w:rsidR="00FA6196" w:rsidTr="00A2381B">
        <w:trPr>
          <w:trHeight w:val="288"/>
        </w:trPr>
        <w:tc>
          <w:tcPr>
            <w:tcW w:w="1268" w:type="dxa"/>
            <w:vMerge/>
            <w:tcBorders>
              <w:left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C4</w:t>
            </w:r>
          </w:p>
        </w:tc>
        <w:tc>
          <w:tcPr>
            <w:tcW w:w="6946"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connaissance des techniques de communication interne et externe ;</w:t>
            </w:r>
          </w:p>
        </w:tc>
      </w:tr>
      <w:tr w:rsidR="00FA6196" w:rsidTr="00A2381B">
        <w:trPr>
          <w:trHeight w:val="288"/>
        </w:trPr>
        <w:tc>
          <w:tcPr>
            <w:tcW w:w="1268" w:type="dxa"/>
            <w:vMerge/>
            <w:tcBorders>
              <w:left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C5</w:t>
            </w:r>
          </w:p>
        </w:tc>
        <w:tc>
          <w:tcPr>
            <w:tcW w:w="6946"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connaissance en droit des contrats / marchés publics ;</w:t>
            </w:r>
          </w:p>
        </w:tc>
      </w:tr>
      <w:tr w:rsidR="00FA6196" w:rsidTr="00A2381B">
        <w:trPr>
          <w:trHeight w:val="288"/>
        </w:trPr>
        <w:tc>
          <w:tcPr>
            <w:tcW w:w="1268" w:type="dxa"/>
            <w:vMerge/>
            <w:tcBorders>
              <w:left w:val="single" w:sz="6" w:space="0" w:color="000000"/>
              <w:bottom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bottom w:val="single" w:sz="6" w:space="0" w:color="000000"/>
              <w:right w:val="single" w:sz="6" w:space="0" w:color="000000"/>
            </w:tcBorders>
            <w:shd w:val="clear" w:color="auto" w:fill="DDEBF7"/>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C6</w:t>
            </w:r>
          </w:p>
        </w:tc>
        <w:tc>
          <w:tcPr>
            <w:tcW w:w="6946" w:type="dxa"/>
            <w:tcBorders>
              <w:top w:val="none" w:sz="4" w:space="0" w:color="000000"/>
              <w:left w:val="none" w:sz="4" w:space="0" w:color="000000"/>
              <w:bottom w:val="single" w:sz="6" w:space="0" w:color="000000"/>
              <w:right w:val="single" w:sz="6" w:space="0" w:color="000000"/>
            </w:tcBorders>
            <w:shd w:val="clear" w:color="auto" w:fill="DDEBF7"/>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connaissance du cadre légal et déontologique de la fonction publique.</w:t>
            </w:r>
          </w:p>
        </w:tc>
      </w:tr>
      <w:tr w:rsidR="00FA6196" w:rsidTr="00A2381B">
        <w:trPr>
          <w:trHeight w:val="263"/>
        </w:trPr>
        <w:tc>
          <w:tcPr>
            <w:tcW w:w="1268" w:type="dxa"/>
            <w:vMerge w:val="restart"/>
            <w:tcBorders>
              <w:top w:val="none" w:sz="4" w:space="0" w:color="000000"/>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Domaine des Compétences :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tc>
        <w:tc>
          <w:tcPr>
            <w:tcW w:w="284" w:type="dxa"/>
            <w:vMerge w:val="restart"/>
            <w:tcBorders>
              <w:top w:val="none" w:sz="4" w:space="0" w:color="000000"/>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CM</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tc>
        <w:tc>
          <w:tcPr>
            <w:tcW w:w="7938" w:type="dxa"/>
            <w:gridSpan w:val="2"/>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Compétences managériales</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CM1</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Encadrer et animer des équipes conséquentes avec des cadres techniques de haut niveau</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CM2</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Susciter l’adhésion des équipes et favoriser les conditions de vie au travail des agents</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CM3</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Prendre en compte dans les meilleures conditions possibles les besoins d’évolution numérique de l’établissement.</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CM4</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Veiller à l’évolution des compétences des personnels de sa direction par des actions de formations, de transformation des métiers et d’accompagnement. </w:t>
            </w:r>
          </w:p>
        </w:tc>
      </w:tr>
      <w:tr w:rsidR="00FA6196" w:rsidTr="00A2381B">
        <w:trPr>
          <w:trHeight w:val="293"/>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val="restart"/>
            <w:tcBorders>
              <w:top w:val="none" w:sz="4" w:space="0" w:color="000000"/>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CT</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tc>
        <w:tc>
          <w:tcPr>
            <w:tcW w:w="7938" w:type="dxa"/>
            <w:gridSpan w:val="2"/>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Compétences techniques</w:t>
            </w:r>
          </w:p>
          <w:p w:rsidR="00FA6196" w:rsidRDefault="00FA6196" w:rsidP="00FA6196">
            <w:pPr>
              <w:spacing w:line="57" w:lineRule="atLeast"/>
              <w:rPr>
                <w:sz w:val="18"/>
              </w:rPr>
            </w:pPr>
            <w:r>
              <w:rPr>
                <w:rFonts w:cs="Calibri"/>
                <w:color w:val="000000"/>
                <w:sz w:val="18"/>
              </w:rPr>
              <w:t> </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CT1</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Rendre compréhensible pour tous, par des communications ciblées, les éléments relatifs aux systèmes d’information et au numérique.</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CT2</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Maîtriser les concepts et architectures du système d’information et des services numériques, les environnements techniques, les outils numériques et leurs usages</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CT3</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Maîtriser les concepts du management de la qualité,</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CT4</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Maitriser la sécurité des systèmes d’information et la législation en vigueur sur les systèmes d’information et services numériques</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CT5</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Capacité à identifier et prendre en compte les évolutions numériques, mais aussi l’écosystème informatique et numérique régional et national.</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CT6</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La maîtrise de la langue anglaise est obligatoire.</w:t>
            </w:r>
          </w:p>
        </w:tc>
      </w:tr>
      <w:tr w:rsidR="00FA6196" w:rsidTr="00A2381B">
        <w:trPr>
          <w:trHeight w:val="251"/>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val="restart"/>
            <w:tcBorders>
              <w:top w:val="none" w:sz="4" w:space="0" w:color="000000"/>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CG</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p w:rsidR="00FA6196" w:rsidRDefault="00FA6196" w:rsidP="00FA6196">
            <w:pPr>
              <w:spacing w:line="57" w:lineRule="atLeast"/>
              <w:rPr>
                <w:sz w:val="18"/>
              </w:rPr>
            </w:pPr>
            <w:r>
              <w:rPr>
                <w:rFonts w:cs="Calibri"/>
                <w:color w:val="000000"/>
                <w:sz w:val="18"/>
              </w:rPr>
              <w:t> </w:t>
            </w:r>
          </w:p>
        </w:tc>
        <w:tc>
          <w:tcPr>
            <w:tcW w:w="7938" w:type="dxa"/>
            <w:gridSpan w:val="2"/>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Compétences de gestion de projet et conduite du changement</w:t>
            </w:r>
          </w:p>
          <w:p w:rsidR="00FA6196" w:rsidRDefault="00FA6196" w:rsidP="00FA6196">
            <w:pPr>
              <w:spacing w:line="57" w:lineRule="atLeast"/>
              <w:rPr>
                <w:sz w:val="18"/>
              </w:rPr>
            </w:pPr>
            <w:r>
              <w:rPr>
                <w:rFonts w:cs="Calibri"/>
                <w:color w:val="000000"/>
                <w:sz w:val="18"/>
              </w:rPr>
              <w:t> </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CG1</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Default="00FA6196" w:rsidP="00FA6196">
            <w:pPr>
              <w:spacing w:line="57" w:lineRule="atLeast"/>
              <w:rPr>
                <w:sz w:val="18"/>
              </w:rPr>
            </w:pPr>
            <w:r>
              <w:rPr>
                <w:rFonts w:cs="Calibri"/>
                <w:color w:val="000000"/>
                <w:sz w:val="18"/>
              </w:rPr>
              <w:t>Maîtriser la méthodologie de conduite de projets complexes</w:t>
            </w:r>
          </w:p>
        </w:tc>
      </w:tr>
      <w:tr w:rsidR="00FA6196" w:rsidTr="00A2381B">
        <w:trPr>
          <w:trHeight w:val="288"/>
        </w:trPr>
        <w:tc>
          <w:tcPr>
            <w:tcW w:w="1268" w:type="dxa"/>
            <w:vMerge/>
            <w:tcBorders>
              <w:left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DD5782" w:rsidRDefault="00FA6196" w:rsidP="00FA6196">
            <w:pPr>
              <w:spacing w:line="57" w:lineRule="atLeast"/>
              <w:rPr>
                <w:b/>
                <w:sz w:val="18"/>
              </w:rPr>
            </w:pPr>
            <w:r w:rsidRPr="00DD5782">
              <w:rPr>
                <w:rFonts w:cs="Calibri"/>
                <w:b/>
                <w:color w:val="000000"/>
                <w:sz w:val="18"/>
              </w:rPr>
              <w:t>CG2</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DD5782" w:rsidRDefault="00FA6196" w:rsidP="00FA6196">
            <w:pPr>
              <w:spacing w:line="57" w:lineRule="atLeast"/>
              <w:rPr>
                <w:b/>
                <w:sz w:val="18"/>
              </w:rPr>
            </w:pPr>
            <w:r w:rsidRPr="00DD5782">
              <w:rPr>
                <w:rFonts w:cs="Calibri"/>
                <w:b/>
                <w:color w:val="000000"/>
                <w:sz w:val="18"/>
              </w:rPr>
              <w:t>savoir piloter des groupes de travaux transversaux, savoir planifier et estimer des charges – coûts – délais </w:t>
            </w:r>
          </w:p>
        </w:tc>
      </w:tr>
      <w:tr w:rsidR="00FA6196" w:rsidTr="00A2381B">
        <w:trPr>
          <w:trHeight w:val="288"/>
        </w:trPr>
        <w:tc>
          <w:tcPr>
            <w:tcW w:w="1268" w:type="dxa"/>
            <w:vMerge/>
            <w:tcBorders>
              <w:left w:val="single" w:sz="6"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284" w:type="dxa"/>
            <w:vMerge/>
            <w:tcBorders>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Default="00FA6196"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FCE4D6"/>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CG3</w:t>
            </w:r>
          </w:p>
        </w:tc>
        <w:tc>
          <w:tcPr>
            <w:tcW w:w="6946" w:type="dxa"/>
            <w:tcBorders>
              <w:top w:val="none" w:sz="4" w:space="0" w:color="000000"/>
              <w:left w:val="none" w:sz="4" w:space="0" w:color="000000"/>
              <w:bottom w:val="single" w:sz="6" w:space="0" w:color="000000"/>
              <w:right w:val="single" w:sz="6" w:space="0" w:color="000000"/>
            </w:tcBorders>
            <w:shd w:val="clear" w:color="auto" w:fill="FCE4D6"/>
            <w:noWrap/>
            <w:tcMar>
              <w:top w:w="15" w:type="dxa"/>
              <w:left w:w="15" w:type="dxa"/>
              <w:bottom w:w="0" w:type="dxa"/>
              <w:right w:w="15" w:type="dxa"/>
            </w:tcMar>
          </w:tcPr>
          <w:p w:rsidR="00FA6196" w:rsidRPr="00BC738E" w:rsidRDefault="00FA6196" w:rsidP="00FA6196">
            <w:pPr>
              <w:spacing w:line="57" w:lineRule="atLeast"/>
              <w:rPr>
                <w:b/>
                <w:sz w:val="18"/>
              </w:rPr>
            </w:pPr>
            <w:r w:rsidRPr="00BC738E">
              <w:rPr>
                <w:rFonts w:cs="Calibri"/>
                <w:b/>
                <w:color w:val="000000"/>
                <w:sz w:val="18"/>
              </w:rPr>
              <w:t>maîtriser les techniques de conduite de changement, de négociation et de gestion des conflits.</w:t>
            </w:r>
          </w:p>
        </w:tc>
      </w:tr>
      <w:tr w:rsidR="00BC738E" w:rsidTr="00A2381B">
        <w:trPr>
          <w:trHeight w:val="285"/>
        </w:trPr>
        <w:tc>
          <w:tcPr>
            <w:tcW w:w="1268" w:type="dxa"/>
            <w:vMerge w:val="restart"/>
            <w:tcBorders>
              <w:top w:val="none" w:sz="4" w:space="0" w:color="000000"/>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r>
              <w:rPr>
                <w:rFonts w:cs="Calibri"/>
                <w:color w:val="000000"/>
                <w:sz w:val="18"/>
              </w:rPr>
              <w:t>Domaine des Qualités personnelles</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p w:rsidR="00BC738E" w:rsidRDefault="00BC738E" w:rsidP="00FA6196">
            <w:pPr>
              <w:spacing w:line="57" w:lineRule="atLeast"/>
              <w:rPr>
                <w:sz w:val="18"/>
              </w:rPr>
            </w:pPr>
            <w:r>
              <w:rPr>
                <w:rFonts w:cs="Calibri"/>
                <w:color w:val="000000"/>
                <w:sz w:val="18"/>
              </w:rPr>
              <w:t> </w:t>
            </w: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r>
              <w:rPr>
                <w:sz w:val="18"/>
              </w:rPr>
              <w:t>QP</w:t>
            </w: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QP1</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une capacité à développer une vision stratégique, être créatif et avoir le sens de l’innovation ;</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Default="00BC738E" w:rsidP="00FA6196">
            <w:pPr>
              <w:spacing w:line="57" w:lineRule="atLeast"/>
              <w:rPr>
                <w:sz w:val="18"/>
              </w:rPr>
            </w:pPr>
            <w:r>
              <w:rPr>
                <w:rFonts w:cs="Calibri"/>
                <w:color w:val="000000"/>
                <w:sz w:val="18"/>
              </w:rPr>
              <w:t>QP2</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Default="00BC738E" w:rsidP="00FA6196">
            <w:pPr>
              <w:spacing w:line="57" w:lineRule="atLeast"/>
              <w:rPr>
                <w:sz w:val="18"/>
              </w:rPr>
            </w:pPr>
            <w:r>
              <w:rPr>
                <w:rFonts w:cs="Calibri"/>
                <w:color w:val="000000"/>
                <w:sz w:val="18"/>
              </w:rPr>
              <w:t>une curiosité pour les nouvelles technologies et leurs applications potentielles ;</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QP3</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une compétence managériale avérée, dans l’encadrement d’équipes importantes, incluant des cadres confirmés ; la capacité à fédérer les équipes et à déléguer ;</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Default="00BC738E" w:rsidP="00FA6196">
            <w:pPr>
              <w:spacing w:line="57" w:lineRule="atLeast"/>
              <w:rPr>
                <w:sz w:val="18"/>
              </w:rPr>
            </w:pPr>
            <w:r>
              <w:rPr>
                <w:rFonts w:cs="Calibri"/>
                <w:color w:val="000000"/>
                <w:sz w:val="18"/>
              </w:rPr>
              <w:t>QP4</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Default="00BC738E" w:rsidP="00FA6196">
            <w:pPr>
              <w:spacing w:line="57" w:lineRule="atLeast"/>
              <w:rPr>
                <w:sz w:val="18"/>
              </w:rPr>
            </w:pPr>
            <w:r>
              <w:rPr>
                <w:rFonts w:cs="Calibri"/>
                <w:color w:val="000000"/>
                <w:sz w:val="18"/>
              </w:rPr>
              <w:t>une expérience avérée à la conduite de projets;</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QP5</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de réelles capacités relationnelles, d’adaptation, de conviction;</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QP6</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une capacité confirmée en communication ;</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QP7</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une aptitude et un goût affirmés pour le travail en équipe ;</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QP8</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une aptitude d’écoute, d’animation, de négociation;</w:t>
            </w:r>
          </w:p>
        </w:tc>
      </w:tr>
      <w:tr w:rsidR="00BC738E" w:rsidTr="00A2381B">
        <w:trPr>
          <w:trHeight w:val="288"/>
        </w:trPr>
        <w:tc>
          <w:tcPr>
            <w:tcW w:w="1268" w:type="dxa"/>
            <w:vMerge/>
            <w:tcBorders>
              <w:left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QP9</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le sens de l’initiative, la capacité à être force de proposition ;</w:t>
            </w:r>
          </w:p>
        </w:tc>
      </w:tr>
      <w:tr w:rsidR="00BC738E" w:rsidTr="00A2381B">
        <w:trPr>
          <w:trHeight w:val="288"/>
        </w:trPr>
        <w:tc>
          <w:tcPr>
            <w:tcW w:w="1268" w:type="dxa"/>
            <w:vMerge/>
            <w:tcBorders>
              <w:left w:val="single" w:sz="6"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284" w:type="dxa"/>
            <w:tcBorders>
              <w:top w:val="none" w:sz="4" w:space="0" w:color="000000"/>
              <w:left w:val="none" w:sz="4" w:space="0" w:color="000000"/>
              <w:bottom w:val="single" w:sz="6" w:space="0" w:color="000000"/>
              <w:right w:val="single" w:sz="6" w:space="0" w:color="000000"/>
            </w:tcBorders>
            <w:shd w:val="clear" w:color="auto" w:fill="D6DCE4"/>
            <w:tcMar>
              <w:top w:w="15" w:type="dxa"/>
              <w:left w:w="15" w:type="dxa"/>
              <w:bottom w:w="0" w:type="dxa"/>
              <w:right w:w="15" w:type="dxa"/>
            </w:tcMar>
          </w:tcPr>
          <w:p w:rsidR="00BC738E" w:rsidRDefault="00BC738E" w:rsidP="00FA6196">
            <w:pPr>
              <w:spacing w:line="57" w:lineRule="atLeast"/>
              <w:rPr>
                <w:sz w:val="18"/>
              </w:rPr>
            </w:pPr>
          </w:p>
        </w:tc>
        <w:tc>
          <w:tcPr>
            <w:tcW w:w="992"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QP10</w:t>
            </w:r>
          </w:p>
        </w:tc>
        <w:tc>
          <w:tcPr>
            <w:tcW w:w="6946" w:type="dxa"/>
            <w:tcBorders>
              <w:top w:val="none" w:sz="4" w:space="0" w:color="000000"/>
              <w:left w:val="none" w:sz="4" w:space="0" w:color="000000"/>
              <w:bottom w:val="single" w:sz="6" w:space="0" w:color="000000"/>
              <w:right w:val="single" w:sz="6" w:space="0" w:color="000000"/>
            </w:tcBorders>
            <w:shd w:val="clear" w:color="auto" w:fill="D6DCE4"/>
            <w:noWrap/>
            <w:tcMar>
              <w:top w:w="15" w:type="dxa"/>
              <w:left w:w="15" w:type="dxa"/>
              <w:bottom w:w="0" w:type="dxa"/>
              <w:right w:w="15" w:type="dxa"/>
            </w:tcMar>
          </w:tcPr>
          <w:p w:rsidR="00BC738E" w:rsidRPr="00BC738E" w:rsidRDefault="00BC738E" w:rsidP="00FA6196">
            <w:pPr>
              <w:spacing w:line="57" w:lineRule="atLeast"/>
              <w:rPr>
                <w:b/>
                <w:sz w:val="18"/>
              </w:rPr>
            </w:pPr>
            <w:r w:rsidRPr="00BC738E">
              <w:rPr>
                <w:rFonts w:cs="Calibri"/>
                <w:b/>
                <w:color w:val="000000"/>
                <w:sz w:val="18"/>
              </w:rPr>
              <w:t>des capacités d’analyse et de synthèse.</w:t>
            </w:r>
          </w:p>
        </w:tc>
      </w:tr>
    </w:tbl>
    <w:p w:rsidR="00FA6196" w:rsidRDefault="00FA6196" w:rsidP="00FA6196"/>
    <w:p w:rsidR="00842AA8" w:rsidRPr="00F81EA0" w:rsidRDefault="00842AA8" w:rsidP="00FA6196">
      <w:pPr>
        <w:rPr>
          <w:rFonts w:ascii="Arial" w:hAnsi="Arial" w:cs="Arial"/>
          <w:b/>
          <w:sz w:val="20"/>
          <w:szCs w:val="20"/>
        </w:rPr>
      </w:pPr>
    </w:p>
    <w:sectPr w:rsidR="00842AA8" w:rsidRPr="00F81EA0" w:rsidSect="008F2D54">
      <w:headerReference w:type="even" r:id="rId8"/>
      <w:headerReference w:type="default" r:id="rId9"/>
      <w:footerReference w:type="default" r:id="rId10"/>
      <w:headerReference w:type="first" r:id="rId11"/>
      <w:pgSz w:w="11906" w:h="16838"/>
      <w:pgMar w:top="1191" w:right="1418" w:bottom="851" w:left="1418"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13" w:rsidRDefault="00BD0313" w:rsidP="00980274">
      <w:r>
        <w:separator/>
      </w:r>
    </w:p>
  </w:endnote>
  <w:endnote w:type="continuationSeparator" w:id="0">
    <w:p w:rsidR="00BD0313" w:rsidRDefault="00BD0313" w:rsidP="0098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70" w:rsidRDefault="007C38A3" w:rsidP="005E04C4">
    <w:pPr>
      <w:pStyle w:val="Pieddepage"/>
      <w:tabs>
        <w:tab w:val="clear" w:pos="9072"/>
        <w:tab w:val="right" w:pos="9923"/>
      </w:tabs>
      <w:ind w:hanging="709"/>
      <w:jc w:val="right"/>
    </w:pPr>
    <w:r>
      <w:rPr>
        <w:noProof/>
        <w:sz w:val="20"/>
        <w:szCs w:val="20"/>
        <w:lang w:eastAsia="fr-FR"/>
      </w:rPr>
      <w:drawing>
        <wp:anchor distT="0" distB="0" distL="114300" distR="114300" simplePos="0" relativeHeight="251691008" behindDoc="0" locked="0" layoutInCell="1" allowOverlap="1" wp14:anchorId="7459F39D" wp14:editId="39E3BA02">
          <wp:simplePos x="0" y="0"/>
          <wp:positionH relativeFrom="column">
            <wp:posOffset>-825751</wp:posOffset>
          </wp:positionH>
          <wp:positionV relativeFrom="paragraph">
            <wp:posOffset>-1006032</wp:posOffset>
          </wp:positionV>
          <wp:extent cx="556895" cy="1143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_MENJ_MESRI_doublelogo_vert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895" cy="1143000"/>
                  </a:xfrm>
                  <a:prstGeom prst="rect">
                    <a:avLst/>
                  </a:prstGeom>
                </pic:spPr>
              </pic:pic>
            </a:graphicData>
          </a:graphic>
          <wp14:sizeRelH relativeFrom="margin">
            <wp14:pctWidth>0</wp14:pctWidth>
          </wp14:sizeRelH>
          <wp14:sizeRelV relativeFrom="margin">
            <wp14:pctHeight>0</wp14:pctHeight>
          </wp14:sizeRelV>
        </wp:anchor>
      </w:drawing>
    </w:r>
    <w:r w:rsidR="00A25570">
      <w:tab/>
    </w:r>
    <w:r w:rsidR="00A25570">
      <w:tab/>
      <w:t xml:space="preserve">Page </w:t>
    </w:r>
    <w:r w:rsidR="00A25570">
      <w:rPr>
        <w:b/>
      </w:rPr>
      <w:fldChar w:fldCharType="begin"/>
    </w:r>
    <w:r w:rsidR="00A25570">
      <w:rPr>
        <w:b/>
      </w:rPr>
      <w:instrText>PAGE  \* Arabic  \* MERGEFORMAT</w:instrText>
    </w:r>
    <w:r w:rsidR="00A25570">
      <w:rPr>
        <w:b/>
      </w:rPr>
      <w:fldChar w:fldCharType="separate"/>
    </w:r>
    <w:r w:rsidR="00EE49D1">
      <w:rPr>
        <w:b/>
        <w:noProof/>
      </w:rPr>
      <w:t>1</w:t>
    </w:r>
    <w:r w:rsidR="00A25570">
      <w:rPr>
        <w:b/>
      </w:rPr>
      <w:fldChar w:fldCharType="end"/>
    </w:r>
    <w:r w:rsidR="00A25570">
      <w:t xml:space="preserve"> sur </w:t>
    </w:r>
    <w:r w:rsidR="00A2381B">
      <w:rPr>
        <w:b/>
        <w:noProof/>
      </w:rPr>
      <w:fldChar w:fldCharType="begin"/>
    </w:r>
    <w:r w:rsidR="00A2381B">
      <w:rPr>
        <w:b/>
        <w:noProof/>
      </w:rPr>
      <w:instrText>NUMPAGES  \* Arabic  \* MERGEFORMAT</w:instrText>
    </w:r>
    <w:r w:rsidR="00A2381B">
      <w:rPr>
        <w:b/>
        <w:noProof/>
      </w:rPr>
      <w:fldChar w:fldCharType="separate"/>
    </w:r>
    <w:r w:rsidR="00EE49D1">
      <w:rPr>
        <w:b/>
        <w:noProof/>
      </w:rPr>
      <w:t>2</w:t>
    </w:r>
    <w:r w:rsidR="00A2381B">
      <w:rPr>
        <w:b/>
        <w:noProof/>
      </w:rPr>
      <w:fldChar w:fldCharType="end"/>
    </w:r>
    <w:r w:rsidR="00A25570">
      <w:rPr>
        <w:noProof/>
        <w:lang w:eastAsia="fr-FR"/>
      </w:rPr>
      <w:drawing>
        <wp:anchor distT="0" distB="0" distL="114300" distR="114300" simplePos="0" relativeHeight="251660288" behindDoc="1" locked="0" layoutInCell="1" allowOverlap="1" wp14:anchorId="3B36B529" wp14:editId="3CD0BDF0">
          <wp:simplePos x="0" y="0"/>
          <wp:positionH relativeFrom="page">
            <wp:posOffset>6400165</wp:posOffset>
          </wp:positionH>
          <wp:positionV relativeFrom="page">
            <wp:posOffset>9504045</wp:posOffset>
          </wp:positionV>
          <wp:extent cx="1122680" cy="1144270"/>
          <wp:effectExtent l="0" t="0" r="1270" b="0"/>
          <wp:wrapTight wrapText="bothSides">
            <wp:wrapPolygon edited="0">
              <wp:start x="0" y="0"/>
              <wp:lineTo x="0" y="21216"/>
              <wp:lineTo x="21258" y="21216"/>
              <wp:lineTo x="21258" y="0"/>
              <wp:lineTo x="0" y="0"/>
            </wp:wrapPolygon>
          </wp:wrapTight>
          <wp:docPr id="5" name="Image 5" descr="Élément de charte graphique de l'école supérieure de l'éducation nationale, de l'enseignement supérieur et de la recherche (ESEN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Élément de charte graphique de l'école supérieure de l'éducation nationale, de l'enseignement supérieur et de la recherche (ESENES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680" cy="1144270"/>
                  </a:xfrm>
                  <a:prstGeom prst="rect">
                    <a:avLst/>
                  </a:prstGeom>
                  <a:noFill/>
                </pic:spPr>
              </pic:pic>
            </a:graphicData>
          </a:graphic>
          <wp14:sizeRelH relativeFrom="page">
            <wp14:pctWidth>0</wp14:pctWidth>
          </wp14:sizeRelH>
          <wp14:sizeRelV relativeFrom="page">
            <wp14:pctHeight>0</wp14:pctHeight>
          </wp14:sizeRelV>
        </wp:anchor>
      </w:drawing>
    </w:r>
    <w:r w:rsidR="00A25570">
      <w:rPr>
        <w:noProof/>
        <w:lang w:eastAsia="fr-FR"/>
      </w:rPr>
      <w:drawing>
        <wp:anchor distT="0" distB="0" distL="114300" distR="114300" simplePos="0" relativeHeight="251659264" behindDoc="1" locked="0" layoutInCell="1" allowOverlap="1" wp14:anchorId="2F136413" wp14:editId="15F2F61C">
          <wp:simplePos x="0" y="0"/>
          <wp:positionH relativeFrom="page">
            <wp:posOffset>2628265</wp:posOffset>
          </wp:positionH>
          <wp:positionV relativeFrom="page">
            <wp:posOffset>10189210</wp:posOffset>
          </wp:positionV>
          <wp:extent cx="2969895" cy="320675"/>
          <wp:effectExtent l="0" t="0" r="1905" b="3175"/>
          <wp:wrapTight wrapText="bothSides">
            <wp:wrapPolygon edited="0">
              <wp:start x="0" y="0"/>
              <wp:lineTo x="0" y="20531"/>
              <wp:lineTo x="21475" y="20531"/>
              <wp:lineTo x="21475" y="0"/>
              <wp:lineTo x="0" y="0"/>
            </wp:wrapPolygon>
          </wp:wrapTight>
          <wp:docPr id="10" name="Image 10" descr="École supérieure de l'éducation nationale, de l'enseignement supérieur et de la rechercheTéléport 2 - BP 72000 - Boulevard des Frères Lumière86963 Futuroscope Chasseneuil Ce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École supérieure de l'éducation nationale, de l'enseignement supérieur et de la rechercheTéléport 2 - BP 72000 - Boulevard des Frères Lumière86963 Futuroscope Chasseneuil Cede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895" cy="320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13" w:rsidRDefault="00BD0313" w:rsidP="00980274">
      <w:r>
        <w:separator/>
      </w:r>
    </w:p>
  </w:footnote>
  <w:footnote w:type="continuationSeparator" w:id="0">
    <w:p w:rsidR="00BD0313" w:rsidRDefault="00BD0313" w:rsidP="00980274">
      <w:r>
        <w:continuationSeparator/>
      </w:r>
    </w:p>
  </w:footnote>
  <w:footnote w:id="1">
    <w:p w:rsidR="00A337F9" w:rsidRDefault="00A337F9">
      <w:pPr>
        <w:pStyle w:val="Notedebasdepage"/>
      </w:pPr>
      <w:r>
        <w:rPr>
          <w:rStyle w:val="Appelnotedebasdep"/>
        </w:rPr>
        <w:footnoteRef/>
      </w:r>
      <w:r>
        <w:t xml:space="preserve"> </w:t>
      </w:r>
      <w:hyperlink r:id="rId1" w:history="1">
        <w:r w:rsidRPr="00AD7933">
          <w:rPr>
            <w:rStyle w:val="Lienhypertexte"/>
          </w:rPr>
          <w:t>https://services.dgesip.fr/fichiers/referentiel_livret_DSI-DSIN.PDF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70" w:rsidRDefault="00EE49D1">
    <w:pPr>
      <w:pStyle w:val="En-tte"/>
    </w:pPr>
    <w:r>
      <w:rPr>
        <w:noProof/>
      </w:rPr>
      <w:pict w14:anchorId="6655F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9711" o:spid="_x0000_s2059" type="#_x0000_t136" style="position:absolute;margin-left:0;margin-top:0;width:595.1pt;height:44.05pt;rotation:315;z-index:-251632640;mso-position-horizontal:center;mso-position-horizontal-relative:margin;mso-position-vertical:center;mso-position-vertical-relative:margin" o:allowincell="f" fillcolor="silver" stroked="f">
          <v:fill opacity=".5"/>
          <v:textpath style="font-family:&quot;Arial&quot;;font-size:1pt" string="PROGRAMME PRÉVISIONN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70" w:rsidRDefault="00A337F9">
    <w:pPr>
      <w:pStyle w:val="En-tte"/>
    </w:pPr>
    <w:r w:rsidRPr="00B15745">
      <w:rPr>
        <w:noProof/>
        <w:color w:val="FF0000"/>
        <w:lang w:eastAsia="fr-FR"/>
      </w:rPr>
      <w:drawing>
        <wp:anchor distT="0" distB="762" distL="114300" distR="114935" simplePos="0" relativeHeight="251688960" behindDoc="1" locked="0" layoutInCell="1" allowOverlap="1" wp14:anchorId="58E455DF" wp14:editId="4ABF204E">
          <wp:simplePos x="0" y="0"/>
          <wp:positionH relativeFrom="page">
            <wp:posOffset>5360670</wp:posOffset>
          </wp:positionH>
          <wp:positionV relativeFrom="page">
            <wp:posOffset>247650</wp:posOffset>
          </wp:positionV>
          <wp:extent cx="1351280" cy="612140"/>
          <wp:effectExtent l="0" t="0" r="1270" b="0"/>
          <wp:wrapTight wrapText="bothSides">
            <wp:wrapPolygon edited="0">
              <wp:start x="0" y="0"/>
              <wp:lineTo x="0" y="20838"/>
              <wp:lineTo x="21316" y="20838"/>
              <wp:lineTo x="21316" y="0"/>
              <wp:lineTo x="0" y="0"/>
            </wp:wrapPolygon>
          </wp:wrapTight>
          <wp:docPr id="1" name="Image 1" descr="Logo de l'agence de mutualisation des universités et établissements (AMUE)" title="Logo de l'agence de mutualisation des universités et établissements (AM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e l'agence de mutualisation des universités et établissements (AMUE)" title="Logo de l'agence de mutualisation des universités et établissements (AMU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extent cx="1013460" cy="610023"/>
          <wp:effectExtent l="0" t="0" r="0" b="0"/>
          <wp:docPr id="3" name="Image 3" descr="IH2EF - Institut des hautes études de l'éducation et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2EF - Institut des hautes études de l'éducation et de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3345" cy="615973"/>
                  </a:xfrm>
                  <a:prstGeom prst="rect">
                    <a:avLst/>
                  </a:prstGeom>
                  <a:noFill/>
                  <a:ln>
                    <a:noFill/>
                  </a:ln>
                </pic:spPr>
              </pic:pic>
            </a:graphicData>
          </a:graphic>
        </wp:inline>
      </w:drawing>
    </w:r>
    <w:r w:rsidRPr="00B15745">
      <w:rPr>
        <w:noProof/>
        <w:color w:val="FF0000"/>
        <w:lang w:eastAsia="fr-FR"/>
      </w:rPr>
      <w:t xml:space="preserve"> </w:t>
    </w:r>
    <w:r w:rsidR="00EE49D1">
      <w:rPr>
        <w:noProof/>
      </w:rPr>
      <w:pict w14:anchorId="05FD4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9712" o:spid="_x0000_s2060" type="#_x0000_t136" style="position:absolute;margin-left:0;margin-top:0;width:595.1pt;height:44.05pt;rotation:315;z-index:-251630592;mso-position-horizontal:center;mso-position-horizontal-relative:margin;mso-position-vertical:center;mso-position-vertical-relative:margin" o:allowincell="f" fillcolor="silver" stroked="f">
          <v:fill opacity=".5"/>
          <v:textpath style="font-family:&quot;Arial&quot;;font-size:1pt" string="PROGRAMME PRÉVISIONN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70" w:rsidRDefault="00EE49D1">
    <w:pPr>
      <w:pStyle w:val="En-tte"/>
    </w:pPr>
    <w:r>
      <w:rPr>
        <w:noProof/>
      </w:rPr>
      <w:pict w14:anchorId="474D9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9710" o:spid="_x0000_s2058" type="#_x0000_t136" style="position:absolute;margin-left:0;margin-top:0;width:595.1pt;height:44.05pt;rotation:315;z-index:-251634688;mso-position-horizontal:center;mso-position-horizontal-relative:margin;mso-position-vertical:center;mso-position-vertical-relative:margin" o:allowincell="f" fillcolor="silver" stroked="f">
          <v:fill opacity=".5"/>
          <v:textpath style="font-family:&quot;Arial&quot;;font-size:1pt" string="PROGRAMME PRÉVISIONN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BAA"/>
    <w:multiLevelType w:val="hybridMultilevel"/>
    <w:tmpl w:val="AD1C8AF4"/>
    <w:lvl w:ilvl="0" w:tplc="A2B43F52">
      <w:start w:val="1"/>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32844CC"/>
    <w:multiLevelType w:val="hybridMultilevel"/>
    <w:tmpl w:val="D46002AA"/>
    <w:lvl w:ilvl="0" w:tplc="A118A28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907A0"/>
    <w:multiLevelType w:val="hybridMultilevel"/>
    <w:tmpl w:val="4F18A558"/>
    <w:lvl w:ilvl="0" w:tplc="8F345FF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AA3268"/>
    <w:multiLevelType w:val="hybridMultilevel"/>
    <w:tmpl w:val="DDA80B5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43D391A"/>
    <w:multiLevelType w:val="hybridMultilevel"/>
    <w:tmpl w:val="D22ED050"/>
    <w:lvl w:ilvl="0" w:tplc="E9422A44">
      <w:start w:val="17"/>
      <w:numFmt w:val="bullet"/>
      <w:lvlText w:val="-"/>
      <w:lvlJc w:val="left"/>
      <w:pPr>
        <w:ind w:left="2136" w:hanging="360"/>
      </w:pPr>
      <w:rPr>
        <w:rFonts w:ascii="Arial Narrow" w:eastAsia="Times New Roman" w:hAnsi="Arial Narrow"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45F6BB9"/>
    <w:multiLevelType w:val="hybridMultilevel"/>
    <w:tmpl w:val="895C099A"/>
    <w:lvl w:ilvl="0" w:tplc="80EC5980">
      <w:start w:val="4"/>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8600D0D"/>
    <w:multiLevelType w:val="hybridMultilevel"/>
    <w:tmpl w:val="B2561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3B1AD4"/>
    <w:multiLevelType w:val="hybridMultilevel"/>
    <w:tmpl w:val="A89C1CC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0EA628C7"/>
    <w:multiLevelType w:val="hybridMultilevel"/>
    <w:tmpl w:val="4C4E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F39AE"/>
    <w:multiLevelType w:val="hybridMultilevel"/>
    <w:tmpl w:val="43BE62E8"/>
    <w:lvl w:ilvl="0" w:tplc="50CAC2A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DB24C2"/>
    <w:multiLevelType w:val="hybridMultilevel"/>
    <w:tmpl w:val="A464424C"/>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hint="default"/>
      </w:rPr>
    </w:lvl>
    <w:lvl w:ilvl="8" w:tplc="040C0005">
      <w:start w:val="1"/>
      <w:numFmt w:val="bullet"/>
      <w:lvlText w:val=""/>
      <w:lvlJc w:val="left"/>
      <w:pPr>
        <w:ind w:left="7536" w:hanging="360"/>
      </w:pPr>
      <w:rPr>
        <w:rFonts w:ascii="Wingdings" w:hAnsi="Wingdings" w:hint="default"/>
      </w:rPr>
    </w:lvl>
  </w:abstractNum>
  <w:abstractNum w:abstractNumId="11" w15:restartNumberingAfterBreak="0">
    <w:nsid w:val="16E03C21"/>
    <w:multiLevelType w:val="hybridMultilevel"/>
    <w:tmpl w:val="E2DEE74C"/>
    <w:lvl w:ilvl="0" w:tplc="4C12B4DC">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2" w15:restartNumberingAfterBreak="0">
    <w:nsid w:val="171A0249"/>
    <w:multiLevelType w:val="hybridMultilevel"/>
    <w:tmpl w:val="D46002AA"/>
    <w:lvl w:ilvl="0" w:tplc="A118A28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2F0066"/>
    <w:multiLevelType w:val="hybridMultilevel"/>
    <w:tmpl w:val="FE96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F362F1"/>
    <w:multiLevelType w:val="hybridMultilevel"/>
    <w:tmpl w:val="AEC8CEA2"/>
    <w:lvl w:ilvl="0" w:tplc="894CB72C">
      <w:start w:val="1"/>
      <w:numFmt w:val="decimal"/>
      <w:lvlText w:val="%1)"/>
      <w:lvlJc w:val="left"/>
      <w:pPr>
        <w:ind w:left="502" w:hanging="360"/>
      </w:pPr>
      <w:rPr>
        <w:rFonts w:cs="Times New Roman" w:hint="default"/>
      </w:rPr>
    </w:lvl>
    <w:lvl w:ilvl="1" w:tplc="040C0019" w:tentative="1">
      <w:start w:val="1"/>
      <w:numFmt w:val="lowerLetter"/>
      <w:lvlText w:val="%2."/>
      <w:lvlJc w:val="left"/>
      <w:pPr>
        <w:ind w:left="1222" w:hanging="360"/>
      </w:pPr>
      <w:rPr>
        <w:rFonts w:cs="Times New Roman"/>
      </w:rPr>
    </w:lvl>
    <w:lvl w:ilvl="2" w:tplc="040C001B" w:tentative="1">
      <w:start w:val="1"/>
      <w:numFmt w:val="lowerRoman"/>
      <w:lvlText w:val="%3."/>
      <w:lvlJc w:val="right"/>
      <w:pPr>
        <w:ind w:left="1942" w:hanging="180"/>
      </w:pPr>
      <w:rPr>
        <w:rFonts w:cs="Times New Roman"/>
      </w:rPr>
    </w:lvl>
    <w:lvl w:ilvl="3" w:tplc="040C000F" w:tentative="1">
      <w:start w:val="1"/>
      <w:numFmt w:val="decimal"/>
      <w:lvlText w:val="%4."/>
      <w:lvlJc w:val="left"/>
      <w:pPr>
        <w:ind w:left="2662" w:hanging="360"/>
      </w:pPr>
      <w:rPr>
        <w:rFonts w:cs="Times New Roman"/>
      </w:rPr>
    </w:lvl>
    <w:lvl w:ilvl="4" w:tplc="040C0019" w:tentative="1">
      <w:start w:val="1"/>
      <w:numFmt w:val="lowerLetter"/>
      <w:lvlText w:val="%5."/>
      <w:lvlJc w:val="left"/>
      <w:pPr>
        <w:ind w:left="3382" w:hanging="360"/>
      </w:pPr>
      <w:rPr>
        <w:rFonts w:cs="Times New Roman"/>
      </w:rPr>
    </w:lvl>
    <w:lvl w:ilvl="5" w:tplc="040C001B" w:tentative="1">
      <w:start w:val="1"/>
      <w:numFmt w:val="lowerRoman"/>
      <w:lvlText w:val="%6."/>
      <w:lvlJc w:val="right"/>
      <w:pPr>
        <w:ind w:left="4102" w:hanging="180"/>
      </w:pPr>
      <w:rPr>
        <w:rFonts w:cs="Times New Roman"/>
      </w:rPr>
    </w:lvl>
    <w:lvl w:ilvl="6" w:tplc="040C000F" w:tentative="1">
      <w:start w:val="1"/>
      <w:numFmt w:val="decimal"/>
      <w:lvlText w:val="%7."/>
      <w:lvlJc w:val="left"/>
      <w:pPr>
        <w:ind w:left="4822" w:hanging="360"/>
      </w:pPr>
      <w:rPr>
        <w:rFonts w:cs="Times New Roman"/>
      </w:rPr>
    </w:lvl>
    <w:lvl w:ilvl="7" w:tplc="040C0019" w:tentative="1">
      <w:start w:val="1"/>
      <w:numFmt w:val="lowerLetter"/>
      <w:lvlText w:val="%8."/>
      <w:lvlJc w:val="left"/>
      <w:pPr>
        <w:ind w:left="5542" w:hanging="360"/>
      </w:pPr>
      <w:rPr>
        <w:rFonts w:cs="Times New Roman"/>
      </w:rPr>
    </w:lvl>
    <w:lvl w:ilvl="8" w:tplc="040C001B" w:tentative="1">
      <w:start w:val="1"/>
      <w:numFmt w:val="lowerRoman"/>
      <w:lvlText w:val="%9."/>
      <w:lvlJc w:val="right"/>
      <w:pPr>
        <w:ind w:left="6262" w:hanging="180"/>
      </w:pPr>
      <w:rPr>
        <w:rFonts w:cs="Times New Roman"/>
      </w:rPr>
    </w:lvl>
  </w:abstractNum>
  <w:abstractNum w:abstractNumId="15" w15:restartNumberingAfterBreak="0">
    <w:nsid w:val="20F75F27"/>
    <w:multiLevelType w:val="hybridMultilevel"/>
    <w:tmpl w:val="30EA03C4"/>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6" w15:restartNumberingAfterBreak="0">
    <w:nsid w:val="221F2FD6"/>
    <w:multiLevelType w:val="hybridMultilevel"/>
    <w:tmpl w:val="3C469D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A96A6B"/>
    <w:multiLevelType w:val="hybridMultilevel"/>
    <w:tmpl w:val="9EF6F33A"/>
    <w:lvl w:ilvl="0" w:tplc="9870AD5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203736"/>
    <w:multiLevelType w:val="hybridMultilevel"/>
    <w:tmpl w:val="80BE637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27953183"/>
    <w:multiLevelType w:val="hybridMultilevel"/>
    <w:tmpl w:val="3DD44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702851"/>
    <w:multiLevelType w:val="hybridMultilevel"/>
    <w:tmpl w:val="DFE62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EF056B"/>
    <w:multiLevelType w:val="hybridMultilevel"/>
    <w:tmpl w:val="FD2AF7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0829DC"/>
    <w:multiLevelType w:val="hybridMultilevel"/>
    <w:tmpl w:val="B6B4D0D2"/>
    <w:lvl w:ilvl="0" w:tplc="F40E66A8">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39D55A71"/>
    <w:multiLevelType w:val="hybridMultilevel"/>
    <w:tmpl w:val="ABD0D9C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3A5D4803"/>
    <w:multiLevelType w:val="hybridMultilevel"/>
    <w:tmpl w:val="0774590E"/>
    <w:lvl w:ilvl="0" w:tplc="9DF08ADA">
      <w:start w:val="1"/>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AE5548"/>
    <w:multiLevelType w:val="hybridMultilevel"/>
    <w:tmpl w:val="CA3038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C820B61"/>
    <w:multiLevelType w:val="hybridMultilevel"/>
    <w:tmpl w:val="13D2BE00"/>
    <w:lvl w:ilvl="0" w:tplc="96E432D8">
      <w:start w:val="1"/>
      <w:numFmt w:val="decimal"/>
      <w:lvlText w:val="%1)"/>
      <w:lvlJc w:val="left"/>
      <w:pPr>
        <w:ind w:left="1080" w:hanging="360"/>
      </w:pPr>
      <w:rPr>
        <w:rFonts w:cs="Times New Roman" w:hint="default"/>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7" w15:restartNumberingAfterBreak="0">
    <w:nsid w:val="3CAA7D72"/>
    <w:multiLevelType w:val="hybridMultilevel"/>
    <w:tmpl w:val="8D36CE76"/>
    <w:lvl w:ilvl="0" w:tplc="9DF08ADA">
      <w:start w:val="1"/>
      <w:numFmt w:val="bullet"/>
      <w:lvlText w:val="-"/>
      <w:lvlJc w:val="left"/>
      <w:pPr>
        <w:ind w:left="862" w:hanging="360"/>
      </w:pPr>
      <w:rPr>
        <w:rFonts w:ascii="Arial Narrow" w:eastAsia="Times New Roman" w:hAnsi="Arial Narrow"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477647C4"/>
    <w:multiLevelType w:val="hybridMultilevel"/>
    <w:tmpl w:val="9A2276AE"/>
    <w:lvl w:ilvl="0" w:tplc="9DF08ADA">
      <w:start w:val="2"/>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A84ACF"/>
    <w:multiLevelType w:val="hybridMultilevel"/>
    <w:tmpl w:val="283878AE"/>
    <w:lvl w:ilvl="0" w:tplc="4498E9FC">
      <w:start w:val="5"/>
      <w:numFmt w:val="bullet"/>
      <w:lvlText w:val=""/>
      <w:lvlJc w:val="left"/>
      <w:pPr>
        <w:ind w:left="785" w:hanging="360"/>
      </w:pPr>
      <w:rPr>
        <w:rFonts w:ascii="Wingdings" w:eastAsia="Times New Roman" w:hAnsi="Wingdings"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0" w15:restartNumberingAfterBreak="0">
    <w:nsid w:val="48DD1AA6"/>
    <w:multiLevelType w:val="hybridMultilevel"/>
    <w:tmpl w:val="010C91DC"/>
    <w:lvl w:ilvl="0" w:tplc="E09E93AE">
      <w:start w:val="1469"/>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49806740"/>
    <w:multiLevelType w:val="hybridMultilevel"/>
    <w:tmpl w:val="22EC191C"/>
    <w:lvl w:ilvl="0" w:tplc="A1C46634">
      <w:start w:val="1"/>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4E430C"/>
    <w:multiLevelType w:val="hybridMultilevel"/>
    <w:tmpl w:val="722CA6D6"/>
    <w:lvl w:ilvl="0" w:tplc="9DF08ADA">
      <w:start w:val="1"/>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0B5134"/>
    <w:multiLevelType w:val="hybridMultilevel"/>
    <w:tmpl w:val="F8CAF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0221E6"/>
    <w:multiLevelType w:val="hybridMultilevel"/>
    <w:tmpl w:val="5EAAF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3F7F7A"/>
    <w:multiLevelType w:val="hybridMultilevel"/>
    <w:tmpl w:val="7E2A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7B3EAF"/>
    <w:multiLevelType w:val="hybridMultilevel"/>
    <w:tmpl w:val="21F05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9E6F74"/>
    <w:multiLevelType w:val="hybridMultilevel"/>
    <w:tmpl w:val="56CA011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8" w15:restartNumberingAfterBreak="0">
    <w:nsid w:val="655D67B5"/>
    <w:multiLevelType w:val="hybridMultilevel"/>
    <w:tmpl w:val="65CCC3E8"/>
    <w:lvl w:ilvl="0" w:tplc="9DF08ADA">
      <w:start w:val="1"/>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C2764"/>
    <w:multiLevelType w:val="hybridMultilevel"/>
    <w:tmpl w:val="CF06953E"/>
    <w:lvl w:ilvl="0" w:tplc="9DF08ADA">
      <w:start w:val="1"/>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7617EF"/>
    <w:multiLevelType w:val="hybridMultilevel"/>
    <w:tmpl w:val="696CB0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5E6A01"/>
    <w:multiLevelType w:val="hybridMultilevel"/>
    <w:tmpl w:val="3446AF2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15:restartNumberingAfterBreak="0">
    <w:nsid w:val="7DB609B3"/>
    <w:multiLevelType w:val="hybridMultilevel"/>
    <w:tmpl w:val="ACA81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FC4A2D"/>
    <w:multiLevelType w:val="hybridMultilevel"/>
    <w:tmpl w:val="E5DCEE9A"/>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num w:numId="1">
    <w:abstractNumId w:val="3"/>
  </w:num>
  <w:num w:numId="2">
    <w:abstractNumId w:val="23"/>
  </w:num>
  <w:num w:numId="3">
    <w:abstractNumId w:val="37"/>
  </w:num>
  <w:num w:numId="4">
    <w:abstractNumId w:val="7"/>
  </w:num>
  <w:num w:numId="5">
    <w:abstractNumId w:val="25"/>
  </w:num>
  <w:num w:numId="6">
    <w:abstractNumId w:val="38"/>
  </w:num>
  <w:num w:numId="7">
    <w:abstractNumId w:val="41"/>
  </w:num>
  <w:num w:numId="8">
    <w:abstractNumId w:val="24"/>
  </w:num>
  <w:num w:numId="9">
    <w:abstractNumId w:val="39"/>
  </w:num>
  <w:num w:numId="10">
    <w:abstractNumId w:val="32"/>
  </w:num>
  <w:num w:numId="11">
    <w:abstractNumId w:val="26"/>
  </w:num>
  <w:num w:numId="12">
    <w:abstractNumId w:val="31"/>
  </w:num>
  <w:num w:numId="13">
    <w:abstractNumId w:val="11"/>
  </w:num>
  <w:num w:numId="14">
    <w:abstractNumId w:val="28"/>
  </w:num>
  <w:num w:numId="15">
    <w:abstractNumId w:val="14"/>
  </w:num>
  <w:num w:numId="16">
    <w:abstractNumId w:val="27"/>
  </w:num>
  <w:num w:numId="17">
    <w:abstractNumId w:val="5"/>
  </w:num>
  <w:num w:numId="18">
    <w:abstractNumId w:val="16"/>
  </w:num>
  <w:num w:numId="19">
    <w:abstractNumId w:val="10"/>
  </w:num>
  <w:num w:numId="20">
    <w:abstractNumId w:val="4"/>
  </w:num>
  <w:num w:numId="21">
    <w:abstractNumId w:val="40"/>
  </w:num>
  <w:num w:numId="22">
    <w:abstractNumId w:val="21"/>
  </w:num>
  <w:num w:numId="23">
    <w:abstractNumId w:val="22"/>
  </w:num>
  <w:num w:numId="24">
    <w:abstractNumId w:val="9"/>
  </w:num>
  <w:num w:numId="25">
    <w:abstractNumId w:val="33"/>
  </w:num>
  <w:num w:numId="26">
    <w:abstractNumId w:val="1"/>
  </w:num>
  <w:num w:numId="27">
    <w:abstractNumId w:val="12"/>
  </w:num>
  <w:num w:numId="28">
    <w:abstractNumId w:val="17"/>
  </w:num>
  <w:num w:numId="29">
    <w:abstractNumId w:val="2"/>
  </w:num>
  <w:num w:numId="30">
    <w:abstractNumId w:val="15"/>
  </w:num>
  <w:num w:numId="31">
    <w:abstractNumId w:val="18"/>
  </w:num>
  <w:num w:numId="32">
    <w:abstractNumId w:val="6"/>
  </w:num>
  <w:num w:numId="33">
    <w:abstractNumId w:val="34"/>
  </w:num>
  <w:num w:numId="34">
    <w:abstractNumId w:val="43"/>
  </w:num>
  <w:num w:numId="35">
    <w:abstractNumId w:val="35"/>
  </w:num>
  <w:num w:numId="36">
    <w:abstractNumId w:val="36"/>
  </w:num>
  <w:num w:numId="37">
    <w:abstractNumId w:val="42"/>
  </w:num>
  <w:num w:numId="38">
    <w:abstractNumId w:val="20"/>
  </w:num>
  <w:num w:numId="39">
    <w:abstractNumId w:val="8"/>
  </w:num>
  <w:num w:numId="40">
    <w:abstractNumId w:val="19"/>
  </w:num>
  <w:num w:numId="41">
    <w:abstractNumId w:val="13"/>
  </w:num>
  <w:num w:numId="42">
    <w:abstractNumId w:val="29"/>
  </w:num>
  <w:num w:numId="43">
    <w:abstractNumId w:val="3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5E"/>
    <w:rsid w:val="00001998"/>
    <w:rsid w:val="00004FAA"/>
    <w:rsid w:val="00005719"/>
    <w:rsid w:val="0001070B"/>
    <w:rsid w:val="00016414"/>
    <w:rsid w:val="00023F26"/>
    <w:rsid w:val="00024A3A"/>
    <w:rsid w:val="00025D25"/>
    <w:rsid w:val="00030E62"/>
    <w:rsid w:val="0003112B"/>
    <w:rsid w:val="00032FFA"/>
    <w:rsid w:val="00032FFC"/>
    <w:rsid w:val="00037AD7"/>
    <w:rsid w:val="00041941"/>
    <w:rsid w:val="00044F8E"/>
    <w:rsid w:val="00053A47"/>
    <w:rsid w:val="00053B6E"/>
    <w:rsid w:val="000556FD"/>
    <w:rsid w:val="00055EDE"/>
    <w:rsid w:val="000654FF"/>
    <w:rsid w:val="00067F73"/>
    <w:rsid w:val="00077313"/>
    <w:rsid w:val="00077897"/>
    <w:rsid w:val="00080C17"/>
    <w:rsid w:val="00083354"/>
    <w:rsid w:val="000841BB"/>
    <w:rsid w:val="0009054B"/>
    <w:rsid w:val="00092BF3"/>
    <w:rsid w:val="00097EBB"/>
    <w:rsid w:val="000A237A"/>
    <w:rsid w:val="000A272E"/>
    <w:rsid w:val="000A30C0"/>
    <w:rsid w:val="000A45F3"/>
    <w:rsid w:val="000B3C94"/>
    <w:rsid w:val="000B4CB7"/>
    <w:rsid w:val="000B6292"/>
    <w:rsid w:val="000B75FC"/>
    <w:rsid w:val="000C028E"/>
    <w:rsid w:val="000C029A"/>
    <w:rsid w:val="000C299B"/>
    <w:rsid w:val="000C3E00"/>
    <w:rsid w:val="000C47EB"/>
    <w:rsid w:val="000C48F0"/>
    <w:rsid w:val="000D3164"/>
    <w:rsid w:val="000D50B2"/>
    <w:rsid w:val="000D7D1E"/>
    <w:rsid w:val="000E092B"/>
    <w:rsid w:val="000E3428"/>
    <w:rsid w:val="000E46F8"/>
    <w:rsid w:val="000E57A2"/>
    <w:rsid w:val="000F07AF"/>
    <w:rsid w:val="000F1E91"/>
    <w:rsid w:val="000F4DE2"/>
    <w:rsid w:val="00103051"/>
    <w:rsid w:val="001032CF"/>
    <w:rsid w:val="00103695"/>
    <w:rsid w:val="00106171"/>
    <w:rsid w:val="0010701E"/>
    <w:rsid w:val="00107D81"/>
    <w:rsid w:val="001104DF"/>
    <w:rsid w:val="00110D4D"/>
    <w:rsid w:val="00112227"/>
    <w:rsid w:val="00112ED9"/>
    <w:rsid w:val="00113545"/>
    <w:rsid w:val="00116198"/>
    <w:rsid w:val="001168BB"/>
    <w:rsid w:val="00120264"/>
    <w:rsid w:val="001264C5"/>
    <w:rsid w:val="00132638"/>
    <w:rsid w:val="00145498"/>
    <w:rsid w:val="00147EA3"/>
    <w:rsid w:val="00152E02"/>
    <w:rsid w:val="001533FF"/>
    <w:rsid w:val="0015439D"/>
    <w:rsid w:val="00154492"/>
    <w:rsid w:val="00155268"/>
    <w:rsid w:val="0015592A"/>
    <w:rsid w:val="00155D5D"/>
    <w:rsid w:val="001605D5"/>
    <w:rsid w:val="00162982"/>
    <w:rsid w:val="00162E0C"/>
    <w:rsid w:val="00164936"/>
    <w:rsid w:val="00164D5A"/>
    <w:rsid w:val="001673D3"/>
    <w:rsid w:val="0017351E"/>
    <w:rsid w:val="00173D0C"/>
    <w:rsid w:val="0017430A"/>
    <w:rsid w:val="00177F40"/>
    <w:rsid w:val="00180AD8"/>
    <w:rsid w:val="00182B1A"/>
    <w:rsid w:val="00183CB8"/>
    <w:rsid w:val="00185557"/>
    <w:rsid w:val="00186A92"/>
    <w:rsid w:val="0019159E"/>
    <w:rsid w:val="00192925"/>
    <w:rsid w:val="00194E71"/>
    <w:rsid w:val="001A2659"/>
    <w:rsid w:val="001A3A57"/>
    <w:rsid w:val="001B3783"/>
    <w:rsid w:val="001C404E"/>
    <w:rsid w:val="001C4585"/>
    <w:rsid w:val="001C4803"/>
    <w:rsid w:val="001C52DB"/>
    <w:rsid w:val="001C6CAB"/>
    <w:rsid w:val="001C70F3"/>
    <w:rsid w:val="001C774E"/>
    <w:rsid w:val="001C796A"/>
    <w:rsid w:val="001D0023"/>
    <w:rsid w:val="001D2C4B"/>
    <w:rsid w:val="001D3262"/>
    <w:rsid w:val="001D4A10"/>
    <w:rsid w:val="001D680D"/>
    <w:rsid w:val="001E05FE"/>
    <w:rsid w:val="001E4572"/>
    <w:rsid w:val="001E5258"/>
    <w:rsid w:val="001E6B91"/>
    <w:rsid w:val="001F15FA"/>
    <w:rsid w:val="001F256C"/>
    <w:rsid w:val="001F4CBF"/>
    <w:rsid w:val="001F5BC4"/>
    <w:rsid w:val="00202430"/>
    <w:rsid w:val="002038AB"/>
    <w:rsid w:val="00204DFC"/>
    <w:rsid w:val="00212709"/>
    <w:rsid w:val="00214006"/>
    <w:rsid w:val="0021486B"/>
    <w:rsid w:val="00220709"/>
    <w:rsid w:val="002223FB"/>
    <w:rsid w:val="00222995"/>
    <w:rsid w:val="0022408F"/>
    <w:rsid w:val="00225DFE"/>
    <w:rsid w:val="002268BE"/>
    <w:rsid w:val="0023280F"/>
    <w:rsid w:val="00235A6E"/>
    <w:rsid w:val="0024558A"/>
    <w:rsid w:val="00245CD8"/>
    <w:rsid w:val="002511CF"/>
    <w:rsid w:val="002525D5"/>
    <w:rsid w:val="0025599A"/>
    <w:rsid w:val="00256EB1"/>
    <w:rsid w:val="002603AE"/>
    <w:rsid w:val="002627AD"/>
    <w:rsid w:val="00262B24"/>
    <w:rsid w:val="0026334E"/>
    <w:rsid w:val="00263994"/>
    <w:rsid w:val="00271A15"/>
    <w:rsid w:val="00271E19"/>
    <w:rsid w:val="002725EA"/>
    <w:rsid w:val="0027384B"/>
    <w:rsid w:val="00274EE8"/>
    <w:rsid w:val="00276945"/>
    <w:rsid w:val="0028400C"/>
    <w:rsid w:val="002863EC"/>
    <w:rsid w:val="002907E1"/>
    <w:rsid w:val="00292468"/>
    <w:rsid w:val="00293016"/>
    <w:rsid w:val="0029466D"/>
    <w:rsid w:val="00295F6B"/>
    <w:rsid w:val="00296B08"/>
    <w:rsid w:val="002A28C1"/>
    <w:rsid w:val="002A2941"/>
    <w:rsid w:val="002A7488"/>
    <w:rsid w:val="002B1B5D"/>
    <w:rsid w:val="002B2C9D"/>
    <w:rsid w:val="002B4A15"/>
    <w:rsid w:val="002B743A"/>
    <w:rsid w:val="002B7859"/>
    <w:rsid w:val="002C0EB7"/>
    <w:rsid w:val="002C157F"/>
    <w:rsid w:val="002C224A"/>
    <w:rsid w:val="002C3436"/>
    <w:rsid w:val="002C5D94"/>
    <w:rsid w:val="002D17BC"/>
    <w:rsid w:val="002D1AFF"/>
    <w:rsid w:val="002D7B69"/>
    <w:rsid w:val="002E10F8"/>
    <w:rsid w:val="002E2710"/>
    <w:rsid w:val="002E3551"/>
    <w:rsid w:val="002E359D"/>
    <w:rsid w:val="002E52D4"/>
    <w:rsid w:val="002E53AA"/>
    <w:rsid w:val="002E7862"/>
    <w:rsid w:val="002F420A"/>
    <w:rsid w:val="002F4424"/>
    <w:rsid w:val="002F635B"/>
    <w:rsid w:val="002F7A74"/>
    <w:rsid w:val="00300002"/>
    <w:rsid w:val="00302525"/>
    <w:rsid w:val="0031000B"/>
    <w:rsid w:val="00313502"/>
    <w:rsid w:val="00314B37"/>
    <w:rsid w:val="00317BB5"/>
    <w:rsid w:val="0032039F"/>
    <w:rsid w:val="00322E6C"/>
    <w:rsid w:val="00323469"/>
    <w:rsid w:val="003264D1"/>
    <w:rsid w:val="00327689"/>
    <w:rsid w:val="003348C2"/>
    <w:rsid w:val="00335BF9"/>
    <w:rsid w:val="00336057"/>
    <w:rsid w:val="00336750"/>
    <w:rsid w:val="003376EF"/>
    <w:rsid w:val="0034049B"/>
    <w:rsid w:val="0034107D"/>
    <w:rsid w:val="0034144B"/>
    <w:rsid w:val="003448AD"/>
    <w:rsid w:val="003467EE"/>
    <w:rsid w:val="00346985"/>
    <w:rsid w:val="003519C0"/>
    <w:rsid w:val="0035449C"/>
    <w:rsid w:val="00356412"/>
    <w:rsid w:val="00366DA8"/>
    <w:rsid w:val="00371335"/>
    <w:rsid w:val="00372CBD"/>
    <w:rsid w:val="00376EA4"/>
    <w:rsid w:val="003855FD"/>
    <w:rsid w:val="00385D2F"/>
    <w:rsid w:val="00392A81"/>
    <w:rsid w:val="003945E5"/>
    <w:rsid w:val="00396BC9"/>
    <w:rsid w:val="003A5F4A"/>
    <w:rsid w:val="003A658A"/>
    <w:rsid w:val="003B2436"/>
    <w:rsid w:val="003B3735"/>
    <w:rsid w:val="003B499D"/>
    <w:rsid w:val="003B51BD"/>
    <w:rsid w:val="003B5A2B"/>
    <w:rsid w:val="003B68E3"/>
    <w:rsid w:val="003C0268"/>
    <w:rsid w:val="003C173E"/>
    <w:rsid w:val="003C34E7"/>
    <w:rsid w:val="003C40FA"/>
    <w:rsid w:val="003C6D6E"/>
    <w:rsid w:val="003D0BF0"/>
    <w:rsid w:val="003D5245"/>
    <w:rsid w:val="003E1A82"/>
    <w:rsid w:val="003E2DE3"/>
    <w:rsid w:val="003F05BD"/>
    <w:rsid w:val="003F13B0"/>
    <w:rsid w:val="003F17E7"/>
    <w:rsid w:val="003F4A33"/>
    <w:rsid w:val="003F5D0D"/>
    <w:rsid w:val="003F6977"/>
    <w:rsid w:val="00401B91"/>
    <w:rsid w:val="00405DAA"/>
    <w:rsid w:val="00407414"/>
    <w:rsid w:val="004120F5"/>
    <w:rsid w:val="00413037"/>
    <w:rsid w:val="00415622"/>
    <w:rsid w:val="00415E40"/>
    <w:rsid w:val="0042015B"/>
    <w:rsid w:val="004209AA"/>
    <w:rsid w:val="0042287B"/>
    <w:rsid w:val="00426793"/>
    <w:rsid w:val="0042679D"/>
    <w:rsid w:val="00433C15"/>
    <w:rsid w:val="00437A45"/>
    <w:rsid w:val="00442D45"/>
    <w:rsid w:val="00447403"/>
    <w:rsid w:val="004556D9"/>
    <w:rsid w:val="00461581"/>
    <w:rsid w:val="00462F04"/>
    <w:rsid w:val="004651DF"/>
    <w:rsid w:val="004734B5"/>
    <w:rsid w:val="00474356"/>
    <w:rsid w:val="00474503"/>
    <w:rsid w:val="00476338"/>
    <w:rsid w:val="00476847"/>
    <w:rsid w:val="00477C81"/>
    <w:rsid w:val="00480E58"/>
    <w:rsid w:val="0048277C"/>
    <w:rsid w:val="00483303"/>
    <w:rsid w:val="00494CC9"/>
    <w:rsid w:val="00496F0C"/>
    <w:rsid w:val="004A03DD"/>
    <w:rsid w:val="004A14BB"/>
    <w:rsid w:val="004A1F6B"/>
    <w:rsid w:val="004A3D77"/>
    <w:rsid w:val="004A714E"/>
    <w:rsid w:val="004B2EEC"/>
    <w:rsid w:val="004B5F84"/>
    <w:rsid w:val="004C2640"/>
    <w:rsid w:val="004C2B3F"/>
    <w:rsid w:val="004C4F99"/>
    <w:rsid w:val="004C78FB"/>
    <w:rsid w:val="004C7AA3"/>
    <w:rsid w:val="004C7BBE"/>
    <w:rsid w:val="004D537D"/>
    <w:rsid w:val="004D5727"/>
    <w:rsid w:val="004D67A1"/>
    <w:rsid w:val="004D7BF0"/>
    <w:rsid w:val="004E092B"/>
    <w:rsid w:val="004E3CE8"/>
    <w:rsid w:val="004E40FF"/>
    <w:rsid w:val="004E466A"/>
    <w:rsid w:val="004F3F04"/>
    <w:rsid w:val="00502FA2"/>
    <w:rsid w:val="00504145"/>
    <w:rsid w:val="00504AEA"/>
    <w:rsid w:val="0050547C"/>
    <w:rsid w:val="005058B3"/>
    <w:rsid w:val="00507ECC"/>
    <w:rsid w:val="0051077E"/>
    <w:rsid w:val="00512A09"/>
    <w:rsid w:val="0051358D"/>
    <w:rsid w:val="005145E2"/>
    <w:rsid w:val="005147A4"/>
    <w:rsid w:val="00515442"/>
    <w:rsid w:val="0051621F"/>
    <w:rsid w:val="005205F4"/>
    <w:rsid w:val="00520FA5"/>
    <w:rsid w:val="00524414"/>
    <w:rsid w:val="00530648"/>
    <w:rsid w:val="005311F6"/>
    <w:rsid w:val="005318CB"/>
    <w:rsid w:val="005349DE"/>
    <w:rsid w:val="00541476"/>
    <w:rsid w:val="005439BE"/>
    <w:rsid w:val="0055412C"/>
    <w:rsid w:val="005609F9"/>
    <w:rsid w:val="00566375"/>
    <w:rsid w:val="00566A16"/>
    <w:rsid w:val="00567E25"/>
    <w:rsid w:val="00571F26"/>
    <w:rsid w:val="00577B71"/>
    <w:rsid w:val="00581812"/>
    <w:rsid w:val="0058653E"/>
    <w:rsid w:val="00587A5C"/>
    <w:rsid w:val="005939E4"/>
    <w:rsid w:val="00594193"/>
    <w:rsid w:val="005943E8"/>
    <w:rsid w:val="0059656B"/>
    <w:rsid w:val="005A10DE"/>
    <w:rsid w:val="005A6A5E"/>
    <w:rsid w:val="005A6F30"/>
    <w:rsid w:val="005B40F6"/>
    <w:rsid w:val="005C5F6E"/>
    <w:rsid w:val="005D124A"/>
    <w:rsid w:val="005D34C2"/>
    <w:rsid w:val="005D40DE"/>
    <w:rsid w:val="005E04C4"/>
    <w:rsid w:val="005E1081"/>
    <w:rsid w:val="005E4690"/>
    <w:rsid w:val="005E5C72"/>
    <w:rsid w:val="005E6B57"/>
    <w:rsid w:val="005F355D"/>
    <w:rsid w:val="005F3684"/>
    <w:rsid w:val="005F4E7D"/>
    <w:rsid w:val="005F53AB"/>
    <w:rsid w:val="005F5C91"/>
    <w:rsid w:val="006000B3"/>
    <w:rsid w:val="00600895"/>
    <w:rsid w:val="00601DB3"/>
    <w:rsid w:val="00605786"/>
    <w:rsid w:val="00606410"/>
    <w:rsid w:val="0061300F"/>
    <w:rsid w:val="00613AC0"/>
    <w:rsid w:val="006165DE"/>
    <w:rsid w:val="00623ECB"/>
    <w:rsid w:val="00627BA9"/>
    <w:rsid w:val="00632A51"/>
    <w:rsid w:val="00634C82"/>
    <w:rsid w:val="006375D4"/>
    <w:rsid w:val="00637C5A"/>
    <w:rsid w:val="00646DE1"/>
    <w:rsid w:val="00646E46"/>
    <w:rsid w:val="00650FB0"/>
    <w:rsid w:val="00652244"/>
    <w:rsid w:val="006533EB"/>
    <w:rsid w:val="006562A4"/>
    <w:rsid w:val="00656CA4"/>
    <w:rsid w:val="006720D3"/>
    <w:rsid w:val="00673951"/>
    <w:rsid w:val="006775B5"/>
    <w:rsid w:val="00682DB1"/>
    <w:rsid w:val="00683139"/>
    <w:rsid w:val="00690008"/>
    <w:rsid w:val="00690708"/>
    <w:rsid w:val="0069458A"/>
    <w:rsid w:val="00694B6A"/>
    <w:rsid w:val="006A38A7"/>
    <w:rsid w:val="006A6503"/>
    <w:rsid w:val="006A66E1"/>
    <w:rsid w:val="006B07BC"/>
    <w:rsid w:val="006B0FFD"/>
    <w:rsid w:val="006B27D4"/>
    <w:rsid w:val="006B5FE7"/>
    <w:rsid w:val="006C3184"/>
    <w:rsid w:val="006C4CBE"/>
    <w:rsid w:val="006C4F46"/>
    <w:rsid w:val="006D044E"/>
    <w:rsid w:val="006D0B76"/>
    <w:rsid w:val="006D0F5C"/>
    <w:rsid w:val="006D2DBB"/>
    <w:rsid w:val="006D6BAE"/>
    <w:rsid w:val="006E0207"/>
    <w:rsid w:val="006E0AAF"/>
    <w:rsid w:val="006E4BCF"/>
    <w:rsid w:val="006E6880"/>
    <w:rsid w:val="006E6D21"/>
    <w:rsid w:val="006F0931"/>
    <w:rsid w:val="006F1ACD"/>
    <w:rsid w:val="006F45CA"/>
    <w:rsid w:val="006F476F"/>
    <w:rsid w:val="006F4F6F"/>
    <w:rsid w:val="006F6171"/>
    <w:rsid w:val="00700028"/>
    <w:rsid w:val="00701967"/>
    <w:rsid w:val="00701D5D"/>
    <w:rsid w:val="00702021"/>
    <w:rsid w:val="007133FF"/>
    <w:rsid w:val="007135C5"/>
    <w:rsid w:val="007160E8"/>
    <w:rsid w:val="00716733"/>
    <w:rsid w:val="00722C21"/>
    <w:rsid w:val="007237E2"/>
    <w:rsid w:val="00724B53"/>
    <w:rsid w:val="00726EB0"/>
    <w:rsid w:val="0072753F"/>
    <w:rsid w:val="0073622E"/>
    <w:rsid w:val="00737679"/>
    <w:rsid w:val="007376CE"/>
    <w:rsid w:val="0074057E"/>
    <w:rsid w:val="007414E6"/>
    <w:rsid w:val="0074352A"/>
    <w:rsid w:val="00744606"/>
    <w:rsid w:val="00744D8B"/>
    <w:rsid w:val="00745C21"/>
    <w:rsid w:val="007462FD"/>
    <w:rsid w:val="00746C0E"/>
    <w:rsid w:val="00751358"/>
    <w:rsid w:val="007528B3"/>
    <w:rsid w:val="007536B3"/>
    <w:rsid w:val="00754392"/>
    <w:rsid w:val="007561EE"/>
    <w:rsid w:val="007577D9"/>
    <w:rsid w:val="00760E31"/>
    <w:rsid w:val="00762C45"/>
    <w:rsid w:val="00763B06"/>
    <w:rsid w:val="00765CDF"/>
    <w:rsid w:val="00766251"/>
    <w:rsid w:val="00771AF6"/>
    <w:rsid w:val="0078037F"/>
    <w:rsid w:val="00783B6E"/>
    <w:rsid w:val="00784EAE"/>
    <w:rsid w:val="00786348"/>
    <w:rsid w:val="00793638"/>
    <w:rsid w:val="00793F11"/>
    <w:rsid w:val="00794895"/>
    <w:rsid w:val="00794B0D"/>
    <w:rsid w:val="00794E33"/>
    <w:rsid w:val="007A0149"/>
    <w:rsid w:val="007A1123"/>
    <w:rsid w:val="007A28E5"/>
    <w:rsid w:val="007B0AEB"/>
    <w:rsid w:val="007B3A3A"/>
    <w:rsid w:val="007B6062"/>
    <w:rsid w:val="007B611B"/>
    <w:rsid w:val="007C1EDE"/>
    <w:rsid w:val="007C38A3"/>
    <w:rsid w:val="007C566B"/>
    <w:rsid w:val="007D7838"/>
    <w:rsid w:val="007E122A"/>
    <w:rsid w:val="007E44D6"/>
    <w:rsid w:val="007E50F4"/>
    <w:rsid w:val="007F1F9A"/>
    <w:rsid w:val="007F4260"/>
    <w:rsid w:val="007F428E"/>
    <w:rsid w:val="007F78F9"/>
    <w:rsid w:val="00800AA1"/>
    <w:rsid w:val="00804D4A"/>
    <w:rsid w:val="0080655C"/>
    <w:rsid w:val="00807785"/>
    <w:rsid w:val="00813DA5"/>
    <w:rsid w:val="00816259"/>
    <w:rsid w:val="00820014"/>
    <w:rsid w:val="00822BD9"/>
    <w:rsid w:val="008234DC"/>
    <w:rsid w:val="0082431F"/>
    <w:rsid w:val="0082523C"/>
    <w:rsid w:val="00826B47"/>
    <w:rsid w:val="00830DFC"/>
    <w:rsid w:val="008311D2"/>
    <w:rsid w:val="008315A5"/>
    <w:rsid w:val="0084203D"/>
    <w:rsid w:val="00842AA8"/>
    <w:rsid w:val="0084507B"/>
    <w:rsid w:val="00845DD6"/>
    <w:rsid w:val="00851970"/>
    <w:rsid w:val="008601CD"/>
    <w:rsid w:val="008675F4"/>
    <w:rsid w:val="0087038C"/>
    <w:rsid w:val="00871854"/>
    <w:rsid w:val="00871F13"/>
    <w:rsid w:val="00874303"/>
    <w:rsid w:val="008746C3"/>
    <w:rsid w:val="00876A1A"/>
    <w:rsid w:val="00880097"/>
    <w:rsid w:val="00881AED"/>
    <w:rsid w:val="00883179"/>
    <w:rsid w:val="00883A9A"/>
    <w:rsid w:val="0088719F"/>
    <w:rsid w:val="00891426"/>
    <w:rsid w:val="00891836"/>
    <w:rsid w:val="008933A3"/>
    <w:rsid w:val="00894A9B"/>
    <w:rsid w:val="008A0E46"/>
    <w:rsid w:val="008A169E"/>
    <w:rsid w:val="008A3A7F"/>
    <w:rsid w:val="008A5FC5"/>
    <w:rsid w:val="008B3808"/>
    <w:rsid w:val="008B39B9"/>
    <w:rsid w:val="008B4444"/>
    <w:rsid w:val="008C54E1"/>
    <w:rsid w:val="008C5878"/>
    <w:rsid w:val="008C6A79"/>
    <w:rsid w:val="008D0046"/>
    <w:rsid w:val="008D04EC"/>
    <w:rsid w:val="008D31A0"/>
    <w:rsid w:val="008D6D86"/>
    <w:rsid w:val="008D73D3"/>
    <w:rsid w:val="008D7DEA"/>
    <w:rsid w:val="008E44DA"/>
    <w:rsid w:val="008E4F48"/>
    <w:rsid w:val="008F0089"/>
    <w:rsid w:val="008F2D54"/>
    <w:rsid w:val="008F6014"/>
    <w:rsid w:val="008F6480"/>
    <w:rsid w:val="008F72C4"/>
    <w:rsid w:val="00901F80"/>
    <w:rsid w:val="009070AD"/>
    <w:rsid w:val="009120B8"/>
    <w:rsid w:val="0091348C"/>
    <w:rsid w:val="009157B9"/>
    <w:rsid w:val="00921DB9"/>
    <w:rsid w:val="00924BF6"/>
    <w:rsid w:val="00926E89"/>
    <w:rsid w:val="00930801"/>
    <w:rsid w:val="0093228B"/>
    <w:rsid w:val="00934988"/>
    <w:rsid w:val="00943C35"/>
    <w:rsid w:val="00945563"/>
    <w:rsid w:val="009457F6"/>
    <w:rsid w:val="009460AF"/>
    <w:rsid w:val="009471B4"/>
    <w:rsid w:val="00947FAB"/>
    <w:rsid w:val="00954323"/>
    <w:rsid w:val="00954A06"/>
    <w:rsid w:val="00960241"/>
    <w:rsid w:val="0096486E"/>
    <w:rsid w:val="0096516A"/>
    <w:rsid w:val="00965A05"/>
    <w:rsid w:val="009733B8"/>
    <w:rsid w:val="00973BBA"/>
    <w:rsid w:val="009740E9"/>
    <w:rsid w:val="00977CB4"/>
    <w:rsid w:val="00980274"/>
    <w:rsid w:val="00983191"/>
    <w:rsid w:val="00984BA1"/>
    <w:rsid w:val="0098545E"/>
    <w:rsid w:val="0098567B"/>
    <w:rsid w:val="00985BF3"/>
    <w:rsid w:val="00986E7E"/>
    <w:rsid w:val="0098704E"/>
    <w:rsid w:val="00993C96"/>
    <w:rsid w:val="00993E61"/>
    <w:rsid w:val="009A0D19"/>
    <w:rsid w:val="009A12BF"/>
    <w:rsid w:val="009A2C01"/>
    <w:rsid w:val="009A40A7"/>
    <w:rsid w:val="009A72DC"/>
    <w:rsid w:val="009B26EA"/>
    <w:rsid w:val="009B32A1"/>
    <w:rsid w:val="009B57F6"/>
    <w:rsid w:val="009C020A"/>
    <w:rsid w:val="009C0522"/>
    <w:rsid w:val="009C6ACC"/>
    <w:rsid w:val="009D01CF"/>
    <w:rsid w:val="009D0EE7"/>
    <w:rsid w:val="009D193A"/>
    <w:rsid w:val="009D36D7"/>
    <w:rsid w:val="009D7FC3"/>
    <w:rsid w:val="009E00C2"/>
    <w:rsid w:val="009E29D6"/>
    <w:rsid w:val="009E447E"/>
    <w:rsid w:val="009E6374"/>
    <w:rsid w:val="009E673B"/>
    <w:rsid w:val="009E7F00"/>
    <w:rsid w:val="009F1DBF"/>
    <w:rsid w:val="009F29D3"/>
    <w:rsid w:val="009F2B70"/>
    <w:rsid w:val="00A013DF"/>
    <w:rsid w:val="00A01AB2"/>
    <w:rsid w:val="00A01F9C"/>
    <w:rsid w:val="00A05C3C"/>
    <w:rsid w:val="00A120F4"/>
    <w:rsid w:val="00A1585E"/>
    <w:rsid w:val="00A15889"/>
    <w:rsid w:val="00A16032"/>
    <w:rsid w:val="00A16A5F"/>
    <w:rsid w:val="00A16F77"/>
    <w:rsid w:val="00A20B6F"/>
    <w:rsid w:val="00A21BA5"/>
    <w:rsid w:val="00A2381B"/>
    <w:rsid w:val="00A23EB8"/>
    <w:rsid w:val="00A25570"/>
    <w:rsid w:val="00A27D85"/>
    <w:rsid w:val="00A30C86"/>
    <w:rsid w:val="00A337F9"/>
    <w:rsid w:val="00A36CE4"/>
    <w:rsid w:val="00A449B8"/>
    <w:rsid w:val="00A44D18"/>
    <w:rsid w:val="00A45957"/>
    <w:rsid w:val="00A50199"/>
    <w:rsid w:val="00A528B7"/>
    <w:rsid w:val="00A573D4"/>
    <w:rsid w:val="00A574B5"/>
    <w:rsid w:val="00A668B3"/>
    <w:rsid w:val="00A66E23"/>
    <w:rsid w:val="00A719E3"/>
    <w:rsid w:val="00A75809"/>
    <w:rsid w:val="00A81310"/>
    <w:rsid w:val="00A81C4A"/>
    <w:rsid w:val="00A86F77"/>
    <w:rsid w:val="00A971CF"/>
    <w:rsid w:val="00AA19B7"/>
    <w:rsid w:val="00AB3E50"/>
    <w:rsid w:val="00AB69AE"/>
    <w:rsid w:val="00AB7784"/>
    <w:rsid w:val="00AC0437"/>
    <w:rsid w:val="00AC1DF1"/>
    <w:rsid w:val="00AC1DF5"/>
    <w:rsid w:val="00AC755D"/>
    <w:rsid w:val="00AD1181"/>
    <w:rsid w:val="00AD21F4"/>
    <w:rsid w:val="00AD25DC"/>
    <w:rsid w:val="00AD4B10"/>
    <w:rsid w:val="00AD5793"/>
    <w:rsid w:val="00AD7091"/>
    <w:rsid w:val="00AD7E14"/>
    <w:rsid w:val="00AE33FC"/>
    <w:rsid w:val="00AE4C49"/>
    <w:rsid w:val="00AF65F2"/>
    <w:rsid w:val="00AF6DFB"/>
    <w:rsid w:val="00AF7D12"/>
    <w:rsid w:val="00B03DDF"/>
    <w:rsid w:val="00B13119"/>
    <w:rsid w:val="00B139A7"/>
    <w:rsid w:val="00B15EF5"/>
    <w:rsid w:val="00B1738E"/>
    <w:rsid w:val="00B21154"/>
    <w:rsid w:val="00B220A7"/>
    <w:rsid w:val="00B24701"/>
    <w:rsid w:val="00B26C3D"/>
    <w:rsid w:val="00B31A57"/>
    <w:rsid w:val="00B34675"/>
    <w:rsid w:val="00B35B0B"/>
    <w:rsid w:val="00B36357"/>
    <w:rsid w:val="00B3676B"/>
    <w:rsid w:val="00B36962"/>
    <w:rsid w:val="00B42583"/>
    <w:rsid w:val="00B44DC5"/>
    <w:rsid w:val="00B44F28"/>
    <w:rsid w:val="00B456A6"/>
    <w:rsid w:val="00B45945"/>
    <w:rsid w:val="00B532E4"/>
    <w:rsid w:val="00B61531"/>
    <w:rsid w:val="00B61D83"/>
    <w:rsid w:val="00B620C5"/>
    <w:rsid w:val="00B63E5C"/>
    <w:rsid w:val="00B70EE9"/>
    <w:rsid w:val="00B70F6A"/>
    <w:rsid w:val="00B71545"/>
    <w:rsid w:val="00B7173F"/>
    <w:rsid w:val="00B72896"/>
    <w:rsid w:val="00B752BF"/>
    <w:rsid w:val="00B7663A"/>
    <w:rsid w:val="00B83F53"/>
    <w:rsid w:val="00B84FC8"/>
    <w:rsid w:val="00B875A2"/>
    <w:rsid w:val="00B9159A"/>
    <w:rsid w:val="00B96149"/>
    <w:rsid w:val="00BA04ED"/>
    <w:rsid w:val="00BA2825"/>
    <w:rsid w:val="00BB0A19"/>
    <w:rsid w:val="00BB3AD3"/>
    <w:rsid w:val="00BB6DEA"/>
    <w:rsid w:val="00BB7076"/>
    <w:rsid w:val="00BC3972"/>
    <w:rsid w:val="00BC6FD7"/>
    <w:rsid w:val="00BC738E"/>
    <w:rsid w:val="00BD00AC"/>
    <w:rsid w:val="00BD0313"/>
    <w:rsid w:val="00BD39CF"/>
    <w:rsid w:val="00BD4445"/>
    <w:rsid w:val="00BD4BF2"/>
    <w:rsid w:val="00BD7CAA"/>
    <w:rsid w:val="00BE13B0"/>
    <w:rsid w:val="00BE1B73"/>
    <w:rsid w:val="00BE20C8"/>
    <w:rsid w:val="00BE2800"/>
    <w:rsid w:val="00BE28C0"/>
    <w:rsid w:val="00BE5D92"/>
    <w:rsid w:val="00BE7E88"/>
    <w:rsid w:val="00BF1F97"/>
    <w:rsid w:val="00BF2E11"/>
    <w:rsid w:val="00BF590D"/>
    <w:rsid w:val="00BF75C8"/>
    <w:rsid w:val="00C0267B"/>
    <w:rsid w:val="00C045D6"/>
    <w:rsid w:val="00C145EC"/>
    <w:rsid w:val="00C17718"/>
    <w:rsid w:val="00C21B0F"/>
    <w:rsid w:val="00C22EE0"/>
    <w:rsid w:val="00C2423A"/>
    <w:rsid w:val="00C26B03"/>
    <w:rsid w:val="00C270B9"/>
    <w:rsid w:val="00C27855"/>
    <w:rsid w:val="00C310F9"/>
    <w:rsid w:val="00C33C5A"/>
    <w:rsid w:val="00C3584D"/>
    <w:rsid w:val="00C5084B"/>
    <w:rsid w:val="00C50E44"/>
    <w:rsid w:val="00C55847"/>
    <w:rsid w:val="00C55CB6"/>
    <w:rsid w:val="00C56BC4"/>
    <w:rsid w:val="00C612B9"/>
    <w:rsid w:val="00C63380"/>
    <w:rsid w:val="00C6488A"/>
    <w:rsid w:val="00C65728"/>
    <w:rsid w:val="00C66341"/>
    <w:rsid w:val="00C66EE2"/>
    <w:rsid w:val="00C70AB9"/>
    <w:rsid w:val="00C75EB1"/>
    <w:rsid w:val="00C76592"/>
    <w:rsid w:val="00C77745"/>
    <w:rsid w:val="00C85F54"/>
    <w:rsid w:val="00C91C6D"/>
    <w:rsid w:val="00C94779"/>
    <w:rsid w:val="00C94AB7"/>
    <w:rsid w:val="00C968B1"/>
    <w:rsid w:val="00C97B58"/>
    <w:rsid w:val="00CA0ACD"/>
    <w:rsid w:val="00CA0CD8"/>
    <w:rsid w:val="00CA196A"/>
    <w:rsid w:val="00CA7B65"/>
    <w:rsid w:val="00CB17C9"/>
    <w:rsid w:val="00CB1863"/>
    <w:rsid w:val="00CB295E"/>
    <w:rsid w:val="00CB42BD"/>
    <w:rsid w:val="00CB63A6"/>
    <w:rsid w:val="00CB7939"/>
    <w:rsid w:val="00CB7E84"/>
    <w:rsid w:val="00CC0708"/>
    <w:rsid w:val="00CC3263"/>
    <w:rsid w:val="00CC7B4C"/>
    <w:rsid w:val="00CC7C6A"/>
    <w:rsid w:val="00CD3CED"/>
    <w:rsid w:val="00CE3BA5"/>
    <w:rsid w:val="00CE4D83"/>
    <w:rsid w:val="00CE6341"/>
    <w:rsid w:val="00CF24C1"/>
    <w:rsid w:val="00CF4826"/>
    <w:rsid w:val="00D01DCC"/>
    <w:rsid w:val="00D044D7"/>
    <w:rsid w:val="00D06CA6"/>
    <w:rsid w:val="00D0793B"/>
    <w:rsid w:val="00D1166B"/>
    <w:rsid w:val="00D12FE8"/>
    <w:rsid w:val="00D137B0"/>
    <w:rsid w:val="00D160C5"/>
    <w:rsid w:val="00D22793"/>
    <w:rsid w:val="00D26CDA"/>
    <w:rsid w:val="00D27CA2"/>
    <w:rsid w:val="00D30DD4"/>
    <w:rsid w:val="00D3245F"/>
    <w:rsid w:val="00D37716"/>
    <w:rsid w:val="00D570BA"/>
    <w:rsid w:val="00D66CC4"/>
    <w:rsid w:val="00D70934"/>
    <w:rsid w:val="00D73D58"/>
    <w:rsid w:val="00D76F6F"/>
    <w:rsid w:val="00D8331C"/>
    <w:rsid w:val="00D840E9"/>
    <w:rsid w:val="00D86D85"/>
    <w:rsid w:val="00D87DD5"/>
    <w:rsid w:val="00D92A34"/>
    <w:rsid w:val="00D92F2B"/>
    <w:rsid w:val="00D959BD"/>
    <w:rsid w:val="00D96182"/>
    <w:rsid w:val="00D96D6E"/>
    <w:rsid w:val="00D972D9"/>
    <w:rsid w:val="00DA2332"/>
    <w:rsid w:val="00DA3CFB"/>
    <w:rsid w:val="00DA41F4"/>
    <w:rsid w:val="00DA6C22"/>
    <w:rsid w:val="00DA7D32"/>
    <w:rsid w:val="00DA7D94"/>
    <w:rsid w:val="00DB133C"/>
    <w:rsid w:val="00DB3EE8"/>
    <w:rsid w:val="00DC13A4"/>
    <w:rsid w:val="00DC52EB"/>
    <w:rsid w:val="00DD4002"/>
    <w:rsid w:val="00DD4193"/>
    <w:rsid w:val="00DD5782"/>
    <w:rsid w:val="00DD659B"/>
    <w:rsid w:val="00DE03F5"/>
    <w:rsid w:val="00DE4A80"/>
    <w:rsid w:val="00DE60F6"/>
    <w:rsid w:val="00DE761E"/>
    <w:rsid w:val="00DF14EC"/>
    <w:rsid w:val="00DF15A7"/>
    <w:rsid w:val="00DF51B7"/>
    <w:rsid w:val="00DF7641"/>
    <w:rsid w:val="00E00243"/>
    <w:rsid w:val="00E01A3A"/>
    <w:rsid w:val="00E02077"/>
    <w:rsid w:val="00E04174"/>
    <w:rsid w:val="00E05B2B"/>
    <w:rsid w:val="00E070C8"/>
    <w:rsid w:val="00E107E9"/>
    <w:rsid w:val="00E143BA"/>
    <w:rsid w:val="00E16413"/>
    <w:rsid w:val="00E1701E"/>
    <w:rsid w:val="00E20C8B"/>
    <w:rsid w:val="00E2380B"/>
    <w:rsid w:val="00E2501D"/>
    <w:rsid w:val="00E25390"/>
    <w:rsid w:val="00E2575B"/>
    <w:rsid w:val="00E264A0"/>
    <w:rsid w:val="00E2672D"/>
    <w:rsid w:val="00E26C76"/>
    <w:rsid w:val="00E272DA"/>
    <w:rsid w:val="00E30442"/>
    <w:rsid w:val="00E318D0"/>
    <w:rsid w:val="00E344E8"/>
    <w:rsid w:val="00E34ACA"/>
    <w:rsid w:val="00E42D38"/>
    <w:rsid w:val="00E449CB"/>
    <w:rsid w:val="00E44C99"/>
    <w:rsid w:val="00E45A5D"/>
    <w:rsid w:val="00E46316"/>
    <w:rsid w:val="00E50525"/>
    <w:rsid w:val="00E578B8"/>
    <w:rsid w:val="00E65C3E"/>
    <w:rsid w:val="00E66CB8"/>
    <w:rsid w:val="00E67345"/>
    <w:rsid w:val="00E700B7"/>
    <w:rsid w:val="00E70651"/>
    <w:rsid w:val="00E70BD0"/>
    <w:rsid w:val="00E75898"/>
    <w:rsid w:val="00E76C83"/>
    <w:rsid w:val="00E80364"/>
    <w:rsid w:val="00E81717"/>
    <w:rsid w:val="00E8704D"/>
    <w:rsid w:val="00E90C14"/>
    <w:rsid w:val="00E920C5"/>
    <w:rsid w:val="00E92459"/>
    <w:rsid w:val="00E933A5"/>
    <w:rsid w:val="00E93750"/>
    <w:rsid w:val="00E9527E"/>
    <w:rsid w:val="00E97F47"/>
    <w:rsid w:val="00EA0974"/>
    <w:rsid w:val="00EA1859"/>
    <w:rsid w:val="00EA285D"/>
    <w:rsid w:val="00EA33B7"/>
    <w:rsid w:val="00EA4A61"/>
    <w:rsid w:val="00EA70E9"/>
    <w:rsid w:val="00EA73CA"/>
    <w:rsid w:val="00EB149E"/>
    <w:rsid w:val="00EB2267"/>
    <w:rsid w:val="00EB5F10"/>
    <w:rsid w:val="00EC58C0"/>
    <w:rsid w:val="00ED109E"/>
    <w:rsid w:val="00ED18F9"/>
    <w:rsid w:val="00ED2731"/>
    <w:rsid w:val="00ED3455"/>
    <w:rsid w:val="00ED4B91"/>
    <w:rsid w:val="00ED5ACB"/>
    <w:rsid w:val="00ED7DCD"/>
    <w:rsid w:val="00EE0BBF"/>
    <w:rsid w:val="00EE49D1"/>
    <w:rsid w:val="00EE7900"/>
    <w:rsid w:val="00EF1C33"/>
    <w:rsid w:val="00EF3CE7"/>
    <w:rsid w:val="00EF7EA7"/>
    <w:rsid w:val="00F00348"/>
    <w:rsid w:val="00F00ADD"/>
    <w:rsid w:val="00F00F1B"/>
    <w:rsid w:val="00F028BF"/>
    <w:rsid w:val="00F11663"/>
    <w:rsid w:val="00F12FCF"/>
    <w:rsid w:val="00F20347"/>
    <w:rsid w:val="00F207D3"/>
    <w:rsid w:val="00F20ADE"/>
    <w:rsid w:val="00F2132D"/>
    <w:rsid w:val="00F223C6"/>
    <w:rsid w:val="00F2707A"/>
    <w:rsid w:val="00F32578"/>
    <w:rsid w:val="00F3532A"/>
    <w:rsid w:val="00F3626D"/>
    <w:rsid w:val="00F36C68"/>
    <w:rsid w:val="00F5177F"/>
    <w:rsid w:val="00F52115"/>
    <w:rsid w:val="00F53A47"/>
    <w:rsid w:val="00F53B63"/>
    <w:rsid w:val="00F60F15"/>
    <w:rsid w:val="00F63049"/>
    <w:rsid w:val="00F64D38"/>
    <w:rsid w:val="00F65A91"/>
    <w:rsid w:val="00F66E0C"/>
    <w:rsid w:val="00F67E71"/>
    <w:rsid w:val="00F76417"/>
    <w:rsid w:val="00F77109"/>
    <w:rsid w:val="00F77540"/>
    <w:rsid w:val="00F7773F"/>
    <w:rsid w:val="00F81EA0"/>
    <w:rsid w:val="00F838DA"/>
    <w:rsid w:val="00F848A4"/>
    <w:rsid w:val="00F85094"/>
    <w:rsid w:val="00F853E7"/>
    <w:rsid w:val="00F857DC"/>
    <w:rsid w:val="00F92649"/>
    <w:rsid w:val="00F92938"/>
    <w:rsid w:val="00F93BF4"/>
    <w:rsid w:val="00F957D0"/>
    <w:rsid w:val="00F970F5"/>
    <w:rsid w:val="00FA405F"/>
    <w:rsid w:val="00FA5AD9"/>
    <w:rsid w:val="00FA6196"/>
    <w:rsid w:val="00FB08E7"/>
    <w:rsid w:val="00FB1D5E"/>
    <w:rsid w:val="00FB4C40"/>
    <w:rsid w:val="00FB5A79"/>
    <w:rsid w:val="00FB6A19"/>
    <w:rsid w:val="00FB7B6C"/>
    <w:rsid w:val="00FC24FB"/>
    <w:rsid w:val="00FC2BF1"/>
    <w:rsid w:val="00FC67DB"/>
    <w:rsid w:val="00FC724B"/>
    <w:rsid w:val="00FD11A4"/>
    <w:rsid w:val="00FD1915"/>
    <w:rsid w:val="00FD597B"/>
    <w:rsid w:val="00FD78F6"/>
    <w:rsid w:val="00FE185F"/>
    <w:rsid w:val="00FE2123"/>
    <w:rsid w:val="00FE600D"/>
    <w:rsid w:val="00FF261A"/>
    <w:rsid w:val="00FF2F99"/>
    <w:rsid w:val="00FF40A5"/>
    <w:rsid w:val="00FF452A"/>
    <w:rsid w:val="00FF5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5:docId w15:val="{02AD2D60-2A31-4F4D-9A94-EF50470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BB5"/>
    <w:rPr>
      <w:lang w:eastAsia="en-US"/>
    </w:rPr>
  </w:style>
  <w:style w:type="paragraph" w:styleId="Titre1">
    <w:name w:val="heading 1"/>
    <w:basedOn w:val="Normal"/>
    <w:next w:val="Normal"/>
    <w:link w:val="Titre1Car"/>
    <w:qFormat/>
    <w:locked/>
    <w:rsid w:val="00746C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locked/>
    <w:rsid w:val="00883A9A"/>
    <w:pPr>
      <w:keepNext/>
      <w:spacing w:before="240" w:after="60"/>
      <w:outlineLvl w:val="1"/>
    </w:pPr>
    <w:rPr>
      <w:rFonts w:ascii="Cambria" w:eastAsia="Times New Roman" w:hAnsi="Cambria"/>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reprincipal">
    <w:name w:val="Article titre principal"/>
    <w:basedOn w:val="Normal"/>
    <w:autoRedefine/>
    <w:uiPriority w:val="99"/>
    <w:rsid w:val="002A2941"/>
    <w:pPr>
      <w:tabs>
        <w:tab w:val="left" w:pos="4920"/>
      </w:tabs>
      <w:spacing w:after="120"/>
      <w:ind w:left="425"/>
      <w:jc w:val="right"/>
    </w:pPr>
    <w:rPr>
      <w:rFonts w:ascii="Arial" w:hAnsi="Arial" w:cs="Arial"/>
      <w:b/>
      <w:sz w:val="20"/>
      <w:szCs w:val="20"/>
      <w:lang w:eastAsia="fr-FR"/>
    </w:rPr>
  </w:style>
  <w:style w:type="table" w:styleId="Grilledutableau">
    <w:name w:val="Table Grid"/>
    <w:basedOn w:val="TableauNormal"/>
    <w:uiPriority w:val="59"/>
    <w:rsid w:val="003404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0D3"/>
    <w:pPr>
      <w:ind w:left="720"/>
      <w:contextualSpacing/>
    </w:pPr>
  </w:style>
  <w:style w:type="paragraph" w:styleId="Textedebulles">
    <w:name w:val="Balloon Text"/>
    <w:basedOn w:val="Normal"/>
    <w:link w:val="TextedebullesCar"/>
    <w:uiPriority w:val="99"/>
    <w:semiHidden/>
    <w:rsid w:val="00B7154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71545"/>
    <w:rPr>
      <w:rFonts w:ascii="Tahoma" w:hAnsi="Tahoma" w:cs="Tahoma"/>
      <w:sz w:val="16"/>
      <w:szCs w:val="16"/>
    </w:rPr>
  </w:style>
  <w:style w:type="paragraph" w:styleId="En-tte">
    <w:name w:val="header"/>
    <w:basedOn w:val="Normal"/>
    <w:link w:val="En-tteCar"/>
    <w:uiPriority w:val="99"/>
    <w:rsid w:val="00980274"/>
    <w:pPr>
      <w:tabs>
        <w:tab w:val="center" w:pos="4536"/>
        <w:tab w:val="right" w:pos="9072"/>
      </w:tabs>
    </w:pPr>
  </w:style>
  <w:style w:type="character" w:customStyle="1" w:styleId="En-tteCar">
    <w:name w:val="En-tête Car"/>
    <w:basedOn w:val="Policepardfaut"/>
    <w:link w:val="En-tte"/>
    <w:uiPriority w:val="99"/>
    <w:locked/>
    <w:rsid w:val="00980274"/>
    <w:rPr>
      <w:rFonts w:cs="Times New Roman"/>
    </w:rPr>
  </w:style>
  <w:style w:type="paragraph" w:styleId="Pieddepage">
    <w:name w:val="footer"/>
    <w:basedOn w:val="Normal"/>
    <w:link w:val="PieddepageCar"/>
    <w:uiPriority w:val="99"/>
    <w:rsid w:val="00980274"/>
    <w:pPr>
      <w:tabs>
        <w:tab w:val="center" w:pos="4536"/>
        <w:tab w:val="right" w:pos="9072"/>
      </w:tabs>
    </w:pPr>
  </w:style>
  <w:style w:type="character" w:customStyle="1" w:styleId="PieddepageCar">
    <w:name w:val="Pied de page Car"/>
    <w:basedOn w:val="Policepardfaut"/>
    <w:link w:val="Pieddepage"/>
    <w:uiPriority w:val="99"/>
    <w:locked/>
    <w:rsid w:val="00980274"/>
    <w:rPr>
      <w:rFonts w:cs="Times New Roman"/>
    </w:rPr>
  </w:style>
  <w:style w:type="paragraph" w:customStyle="1" w:styleId="StyledatejourneeprogformationGauche5cmDroite4cm">
    <w:name w:val="Style date_journee_prog_formation + Gauche :  5 cm Droite :  4 cm"/>
    <w:basedOn w:val="Normal"/>
    <w:uiPriority w:val="99"/>
    <w:rsid w:val="00D37716"/>
    <w:pPr>
      <w:pBdr>
        <w:top w:val="single" w:sz="4" w:space="1" w:color="365F9B"/>
        <w:left w:val="single" w:sz="4" w:space="4" w:color="365F9B"/>
        <w:bottom w:val="single" w:sz="4" w:space="1" w:color="365F9B"/>
        <w:right w:val="single" w:sz="4" w:space="4" w:color="365F9B"/>
      </w:pBdr>
      <w:ind w:left="2835" w:right="2267"/>
      <w:jc w:val="center"/>
      <w:outlineLvl w:val="1"/>
    </w:pPr>
    <w:rPr>
      <w:rFonts w:ascii="Arial" w:eastAsia="Times New Roman" w:hAnsi="Arial"/>
      <w:b/>
      <w:bCs/>
      <w:sz w:val="28"/>
      <w:szCs w:val="20"/>
      <w:lang w:eastAsia="fr-FR"/>
    </w:rPr>
  </w:style>
  <w:style w:type="paragraph" w:customStyle="1" w:styleId="accueilconfplenieredejpauseprogformation">
    <w:name w:val="accueil_conf_pleniere_dej_pause_prog_formation"/>
    <w:basedOn w:val="Normal"/>
    <w:uiPriority w:val="99"/>
    <w:rsid w:val="00D37716"/>
    <w:pPr>
      <w:spacing w:after="60"/>
    </w:pPr>
    <w:rPr>
      <w:rFonts w:ascii="Arial" w:eastAsia="Times New Roman" w:hAnsi="Arial"/>
      <w:szCs w:val="24"/>
      <w:lang w:eastAsia="fr-FR"/>
    </w:rPr>
  </w:style>
  <w:style w:type="paragraph" w:customStyle="1" w:styleId="Horairesprogformation">
    <w:name w:val="Horaires_prog_formation"/>
    <w:basedOn w:val="Normal"/>
    <w:uiPriority w:val="99"/>
    <w:rsid w:val="00D37716"/>
    <w:rPr>
      <w:rFonts w:ascii="Arial" w:eastAsia="Times New Roman" w:hAnsi="Arial"/>
      <w:b/>
      <w:sz w:val="18"/>
      <w:szCs w:val="24"/>
      <w:lang w:eastAsia="fr-FR"/>
    </w:rPr>
  </w:style>
  <w:style w:type="paragraph" w:customStyle="1" w:styleId="intervenantprogformation">
    <w:name w:val="intervenant_prog_formation"/>
    <w:basedOn w:val="Normal"/>
    <w:uiPriority w:val="99"/>
    <w:rsid w:val="00D37716"/>
    <w:pPr>
      <w:jc w:val="right"/>
    </w:pPr>
    <w:rPr>
      <w:rFonts w:ascii="Arial" w:eastAsia="Times New Roman" w:hAnsi="Arial"/>
      <w:b/>
      <w:color w:val="365F9B"/>
      <w:sz w:val="20"/>
      <w:szCs w:val="24"/>
      <w:lang w:eastAsia="fr-FR"/>
    </w:rPr>
  </w:style>
  <w:style w:type="paragraph" w:customStyle="1" w:styleId="qualiteintervenantprogformation">
    <w:name w:val="qualite_intervenant_prog_formation"/>
    <w:basedOn w:val="Normal"/>
    <w:uiPriority w:val="99"/>
    <w:rsid w:val="00D37716"/>
    <w:pPr>
      <w:spacing w:after="60"/>
      <w:jc w:val="right"/>
    </w:pPr>
    <w:rPr>
      <w:rFonts w:ascii="Arial" w:eastAsia="Times New Roman" w:hAnsi="Arial"/>
      <w:i/>
      <w:color w:val="365F9B"/>
      <w:sz w:val="18"/>
      <w:szCs w:val="24"/>
      <w:lang w:eastAsia="fr-FR"/>
    </w:rPr>
  </w:style>
  <w:style w:type="paragraph" w:customStyle="1" w:styleId="titreinterventionprogformation">
    <w:name w:val="titre_intervention_prog_formation"/>
    <w:basedOn w:val="Normal"/>
    <w:uiPriority w:val="99"/>
    <w:rsid w:val="00D37716"/>
    <w:pPr>
      <w:spacing w:after="60"/>
    </w:pPr>
    <w:rPr>
      <w:rFonts w:ascii="Arial" w:eastAsia="Times New Roman" w:hAnsi="Arial"/>
      <w:b/>
      <w:color w:val="365F9B"/>
      <w:szCs w:val="24"/>
      <w:lang w:eastAsia="fr-FR"/>
    </w:rPr>
  </w:style>
  <w:style w:type="paragraph" w:customStyle="1" w:styleId="soustitreinterventionprogformation">
    <w:name w:val="sous_titre_intervention_prog_formation"/>
    <w:basedOn w:val="Normal"/>
    <w:uiPriority w:val="99"/>
    <w:rsid w:val="00116198"/>
    <w:pPr>
      <w:spacing w:after="60"/>
    </w:pPr>
    <w:rPr>
      <w:rFonts w:ascii="Arial" w:eastAsia="Times New Roman" w:hAnsi="Arial"/>
      <w:b/>
      <w:color w:val="365F9B"/>
      <w:sz w:val="20"/>
      <w:szCs w:val="24"/>
      <w:lang w:eastAsia="fr-FR"/>
    </w:rPr>
  </w:style>
  <w:style w:type="paragraph" w:customStyle="1" w:styleId="Titreprogformation">
    <w:name w:val="Titre_prog_formation"/>
    <w:basedOn w:val="Normal"/>
    <w:uiPriority w:val="99"/>
    <w:rsid w:val="00891426"/>
    <w:pPr>
      <w:jc w:val="right"/>
      <w:outlineLvl w:val="0"/>
    </w:pPr>
    <w:rPr>
      <w:rFonts w:ascii="Arial" w:eastAsia="Times New Roman" w:hAnsi="Arial"/>
      <w:b/>
      <w:bCs/>
      <w:sz w:val="32"/>
      <w:szCs w:val="24"/>
      <w:lang w:eastAsia="fr-FR"/>
    </w:rPr>
  </w:style>
  <w:style w:type="character" w:styleId="lev">
    <w:name w:val="Strong"/>
    <w:basedOn w:val="Policepardfaut"/>
    <w:uiPriority w:val="22"/>
    <w:qFormat/>
    <w:rsid w:val="006C4CBE"/>
    <w:rPr>
      <w:rFonts w:cs="Times New Roman"/>
      <w:b/>
      <w:bCs/>
    </w:rPr>
  </w:style>
  <w:style w:type="character" w:styleId="Marquedecommentaire">
    <w:name w:val="annotation reference"/>
    <w:basedOn w:val="Policepardfaut"/>
    <w:uiPriority w:val="99"/>
    <w:semiHidden/>
    <w:unhideWhenUsed/>
    <w:rsid w:val="00BE20C8"/>
    <w:rPr>
      <w:sz w:val="16"/>
      <w:szCs w:val="16"/>
    </w:rPr>
  </w:style>
  <w:style w:type="paragraph" w:styleId="Commentaire">
    <w:name w:val="annotation text"/>
    <w:basedOn w:val="Normal"/>
    <w:link w:val="CommentaireCar"/>
    <w:uiPriority w:val="99"/>
    <w:semiHidden/>
    <w:unhideWhenUsed/>
    <w:rsid w:val="00BE20C8"/>
    <w:rPr>
      <w:sz w:val="20"/>
      <w:szCs w:val="20"/>
    </w:rPr>
  </w:style>
  <w:style w:type="character" w:customStyle="1" w:styleId="CommentaireCar">
    <w:name w:val="Commentaire Car"/>
    <w:basedOn w:val="Policepardfaut"/>
    <w:link w:val="Commentaire"/>
    <w:uiPriority w:val="99"/>
    <w:semiHidden/>
    <w:rsid w:val="00BE20C8"/>
    <w:rPr>
      <w:sz w:val="20"/>
      <w:szCs w:val="20"/>
      <w:lang w:eastAsia="en-US"/>
    </w:rPr>
  </w:style>
  <w:style w:type="paragraph" w:styleId="Objetducommentaire">
    <w:name w:val="annotation subject"/>
    <w:basedOn w:val="Commentaire"/>
    <w:next w:val="Commentaire"/>
    <w:link w:val="ObjetducommentaireCar"/>
    <w:uiPriority w:val="99"/>
    <w:semiHidden/>
    <w:unhideWhenUsed/>
    <w:rsid w:val="00BE20C8"/>
    <w:rPr>
      <w:b/>
      <w:bCs/>
    </w:rPr>
  </w:style>
  <w:style w:type="character" w:customStyle="1" w:styleId="ObjetducommentaireCar">
    <w:name w:val="Objet du commentaire Car"/>
    <w:basedOn w:val="CommentaireCar"/>
    <w:link w:val="Objetducommentaire"/>
    <w:uiPriority w:val="99"/>
    <w:semiHidden/>
    <w:rsid w:val="00BE20C8"/>
    <w:rPr>
      <w:b/>
      <w:bCs/>
      <w:sz w:val="20"/>
      <w:szCs w:val="20"/>
      <w:lang w:eastAsia="en-US"/>
    </w:rPr>
  </w:style>
  <w:style w:type="character" w:customStyle="1" w:styleId="Titre2Car">
    <w:name w:val="Titre 2 Car"/>
    <w:basedOn w:val="Policepardfaut"/>
    <w:link w:val="Titre2"/>
    <w:uiPriority w:val="9"/>
    <w:rsid w:val="00883A9A"/>
    <w:rPr>
      <w:rFonts w:ascii="Cambria" w:eastAsia="Times New Roman" w:hAnsi="Cambria"/>
      <w:b/>
      <w:bCs/>
      <w:i/>
      <w:iCs/>
      <w:sz w:val="28"/>
      <w:szCs w:val="28"/>
    </w:rPr>
  </w:style>
  <w:style w:type="paragraph" w:styleId="NormalWeb">
    <w:name w:val="Normal (Web)"/>
    <w:basedOn w:val="Normal"/>
    <w:uiPriority w:val="99"/>
    <w:semiHidden/>
    <w:unhideWhenUsed/>
    <w:rsid w:val="00476847"/>
    <w:pPr>
      <w:spacing w:before="100" w:beforeAutospacing="1" w:after="100" w:afterAutospacing="1"/>
    </w:pPr>
    <w:rPr>
      <w:rFonts w:ascii="Times New Roman" w:eastAsia="Times New Roman" w:hAnsi="Times New Roman"/>
      <w:sz w:val="24"/>
      <w:szCs w:val="24"/>
      <w:lang w:eastAsia="fr-FR"/>
    </w:rPr>
  </w:style>
  <w:style w:type="paragraph" w:customStyle="1" w:styleId="Default">
    <w:name w:val="Default"/>
    <w:rsid w:val="007C1EDE"/>
    <w:pPr>
      <w:autoSpaceDE w:val="0"/>
      <w:autoSpaceDN w:val="0"/>
      <w:adjustRightInd w:val="0"/>
    </w:pPr>
    <w:rPr>
      <w:rFonts w:ascii="Arial" w:hAnsi="Arial" w:cs="Arial"/>
      <w:color w:val="000000"/>
      <w:sz w:val="24"/>
      <w:szCs w:val="24"/>
    </w:rPr>
  </w:style>
  <w:style w:type="paragraph" w:styleId="Sous-titre">
    <w:name w:val="Subtitle"/>
    <w:basedOn w:val="Normal"/>
    <w:next w:val="Normal"/>
    <w:link w:val="Sous-titreCar"/>
    <w:qFormat/>
    <w:locked/>
    <w:rsid w:val="002E2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2E2710"/>
    <w:rPr>
      <w:rFonts w:asciiTheme="majorHAnsi" w:eastAsiaTheme="majorEastAsia" w:hAnsiTheme="majorHAnsi" w:cstheme="majorBidi"/>
      <w:i/>
      <w:iCs/>
      <w:color w:val="4F81BD" w:themeColor="accent1"/>
      <w:spacing w:val="15"/>
      <w:sz w:val="24"/>
      <w:szCs w:val="24"/>
      <w:lang w:eastAsia="en-US"/>
    </w:rPr>
  </w:style>
  <w:style w:type="paragraph" w:styleId="Sansinterligne">
    <w:name w:val="No Spacing"/>
    <w:uiPriority w:val="1"/>
    <w:qFormat/>
    <w:rsid w:val="002E2710"/>
    <w:rPr>
      <w:lang w:eastAsia="en-US"/>
    </w:rPr>
  </w:style>
  <w:style w:type="character" w:styleId="Lienhypertexte">
    <w:name w:val="Hyperlink"/>
    <w:basedOn w:val="Policepardfaut"/>
    <w:uiPriority w:val="99"/>
    <w:unhideWhenUsed/>
    <w:rsid w:val="00B26C3D"/>
    <w:rPr>
      <w:color w:val="0000FF" w:themeColor="hyperlink"/>
      <w:u w:val="single"/>
    </w:rPr>
  </w:style>
  <w:style w:type="character" w:customStyle="1" w:styleId="Titre1Car">
    <w:name w:val="Titre 1 Car"/>
    <w:basedOn w:val="Policepardfaut"/>
    <w:link w:val="Titre1"/>
    <w:rsid w:val="00746C0E"/>
    <w:rPr>
      <w:rFonts w:asciiTheme="majorHAnsi" w:eastAsiaTheme="majorEastAsia" w:hAnsiTheme="majorHAnsi" w:cstheme="majorBidi"/>
      <w:b/>
      <w:bCs/>
      <w:color w:val="365F91" w:themeColor="accent1" w:themeShade="BF"/>
      <w:sz w:val="28"/>
      <w:szCs w:val="28"/>
      <w:lang w:eastAsia="en-US"/>
    </w:rPr>
  </w:style>
  <w:style w:type="paragraph" w:styleId="Notedebasdepage">
    <w:name w:val="footnote text"/>
    <w:basedOn w:val="Normal"/>
    <w:link w:val="NotedebasdepageCar"/>
    <w:uiPriority w:val="99"/>
    <w:semiHidden/>
    <w:unhideWhenUsed/>
    <w:rsid w:val="00A337F9"/>
    <w:rPr>
      <w:sz w:val="20"/>
      <w:szCs w:val="20"/>
    </w:rPr>
  </w:style>
  <w:style w:type="character" w:customStyle="1" w:styleId="NotedebasdepageCar">
    <w:name w:val="Note de bas de page Car"/>
    <w:basedOn w:val="Policepardfaut"/>
    <w:link w:val="Notedebasdepage"/>
    <w:uiPriority w:val="99"/>
    <w:semiHidden/>
    <w:rsid w:val="00A337F9"/>
    <w:rPr>
      <w:sz w:val="20"/>
      <w:szCs w:val="20"/>
      <w:lang w:eastAsia="en-US"/>
    </w:rPr>
  </w:style>
  <w:style w:type="character" w:styleId="Appelnotedebasdep">
    <w:name w:val="footnote reference"/>
    <w:basedOn w:val="Policepardfaut"/>
    <w:uiPriority w:val="99"/>
    <w:semiHidden/>
    <w:unhideWhenUsed/>
    <w:rsid w:val="00A337F9"/>
    <w:rPr>
      <w:vertAlign w:val="superscript"/>
    </w:rPr>
  </w:style>
  <w:style w:type="paragraph" w:styleId="Lgende">
    <w:name w:val="caption"/>
    <w:basedOn w:val="Normal"/>
    <w:next w:val="Normal"/>
    <w:unhideWhenUsed/>
    <w:qFormat/>
    <w:locked/>
    <w:rsid w:val="00FA6196"/>
    <w:pPr>
      <w:spacing w:after="200"/>
    </w:pPr>
    <w:rPr>
      <w:i/>
      <w:iCs/>
      <w:color w:val="1F497D" w:themeColor="text2"/>
      <w:sz w:val="18"/>
      <w:szCs w:val="18"/>
    </w:rPr>
  </w:style>
  <w:style w:type="table" w:customStyle="1" w:styleId="Grilledutableau1">
    <w:name w:val="Grille du tableau1"/>
    <w:basedOn w:val="TableauNormal"/>
    <w:next w:val="Grilledutableau"/>
    <w:uiPriority w:val="59"/>
    <w:rsid w:val="00E97F47"/>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405">
      <w:bodyDiv w:val="1"/>
      <w:marLeft w:val="0"/>
      <w:marRight w:val="0"/>
      <w:marTop w:val="0"/>
      <w:marBottom w:val="0"/>
      <w:divBdr>
        <w:top w:val="none" w:sz="0" w:space="0" w:color="auto"/>
        <w:left w:val="none" w:sz="0" w:space="0" w:color="auto"/>
        <w:bottom w:val="none" w:sz="0" w:space="0" w:color="auto"/>
        <w:right w:val="none" w:sz="0" w:space="0" w:color="auto"/>
      </w:divBdr>
    </w:div>
    <w:div w:id="329061180">
      <w:marLeft w:val="0"/>
      <w:marRight w:val="0"/>
      <w:marTop w:val="0"/>
      <w:marBottom w:val="0"/>
      <w:divBdr>
        <w:top w:val="none" w:sz="0" w:space="0" w:color="auto"/>
        <w:left w:val="none" w:sz="0" w:space="0" w:color="auto"/>
        <w:bottom w:val="none" w:sz="0" w:space="0" w:color="auto"/>
        <w:right w:val="none" w:sz="0" w:space="0" w:color="auto"/>
      </w:divBdr>
    </w:div>
    <w:div w:id="329061181">
      <w:marLeft w:val="0"/>
      <w:marRight w:val="0"/>
      <w:marTop w:val="0"/>
      <w:marBottom w:val="0"/>
      <w:divBdr>
        <w:top w:val="none" w:sz="0" w:space="0" w:color="auto"/>
        <w:left w:val="none" w:sz="0" w:space="0" w:color="auto"/>
        <w:bottom w:val="none" w:sz="0" w:space="0" w:color="auto"/>
        <w:right w:val="none" w:sz="0" w:space="0" w:color="auto"/>
      </w:divBdr>
    </w:div>
    <w:div w:id="329061182">
      <w:marLeft w:val="0"/>
      <w:marRight w:val="0"/>
      <w:marTop w:val="0"/>
      <w:marBottom w:val="0"/>
      <w:divBdr>
        <w:top w:val="none" w:sz="0" w:space="0" w:color="auto"/>
        <w:left w:val="none" w:sz="0" w:space="0" w:color="auto"/>
        <w:bottom w:val="none" w:sz="0" w:space="0" w:color="auto"/>
        <w:right w:val="none" w:sz="0" w:space="0" w:color="auto"/>
      </w:divBdr>
    </w:div>
    <w:div w:id="335378153">
      <w:bodyDiv w:val="1"/>
      <w:marLeft w:val="0"/>
      <w:marRight w:val="0"/>
      <w:marTop w:val="0"/>
      <w:marBottom w:val="0"/>
      <w:divBdr>
        <w:top w:val="none" w:sz="0" w:space="0" w:color="auto"/>
        <w:left w:val="none" w:sz="0" w:space="0" w:color="auto"/>
        <w:bottom w:val="none" w:sz="0" w:space="0" w:color="auto"/>
        <w:right w:val="none" w:sz="0" w:space="0" w:color="auto"/>
      </w:divBdr>
    </w:div>
    <w:div w:id="388303289">
      <w:bodyDiv w:val="1"/>
      <w:marLeft w:val="0"/>
      <w:marRight w:val="0"/>
      <w:marTop w:val="0"/>
      <w:marBottom w:val="0"/>
      <w:divBdr>
        <w:top w:val="none" w:sz="0" w:space="0" w:color="auto"/>
        <w:left w:val="none" w:sz="0" w:space="0" w:color="auto"/>
        <w:bottom w:val="none" w:sz="0" w:space="0" w:color="auto"/>
        <w:right w:val="none" w:sz="0" w:space="0" w:color="auto"/>
      </w:divBdr>
    </w:div>
    <w:div w:id="412507042">
      <w:bodyDiv w:val="1"/>
      <w:marLeft w:val="0"/>
      <w:marRight w:val="0"/>
      <w:marTop w:val="0"/>
      <w:marBottom w:val="0"/>
      <w:divBdr>
        <w:top w:val="none" w:sz="0" w:space="0" w:color="auto"/>
        <w:left w:val="none" w:sz="0" w:space="0" w:color="auto"/>
        <w:bottom w:val="none" w:sz="0" w:space="0" w:color="auto"/>
        <w:right w:val="none" w:sz="0" w:space="0" w:color="auto"/>
      </w:divBdr>
      <w:divsChild>
        <w:div w:id="1242907630">
          <w:marLeft w:val="0"/>
          <w:marRight w:val="0"/>
          <w:marTop w:val="0"/>
          <w:marBottom w:val="0"/>
          <w:divBdr>
            <w:top w:val="none" w:sz="0" w:space="0" w:color="auto"/>
            <w:left w:val="none" w:sz="0" w:space="0" w:color="auto"/>
            <w:bottom w:val="none" w:sz="0" w:space="0" w:color="auto"/>
            <w:right w:val="none" w:sz="0" w:space="0" w:color="auto"/>
          </w:divBdr>
        </w:div>
      </w:divsChild>
    </w:div>
    <w:div w:id="469320429">
      <w:bodyDiv w:val="1"/>
      <w:marLeft w:val="0"/>
      <w:marRight w:val="0"/>
      <w:marTop w:val="0"/>
      <w:marBottom w:val="0"/>
      <w:divBdr>
        <w:top w:val="none" w:sz="0" w:space="0" w:color="auto"/>
        <w:left w:val="none" w:sz="0" w:space="0" w:color="auto"/>
        <w:bottom w:val="none" w:sz="0" w:space="0" w:color="auto"/>
        <w:right w:val="none" w:sz="0" w:space="0" w:color="auto"/>
      </w:divBdr>
      <w:divsChild>
        <w:div w:id="1282032144">
          <w:marLeft w:val="0"/>
          <w:marRight w:val="0"/>
          <w:marTop w:val="0"/>
          <w:marBottom w:val="0"/>
          <w:divBdr>
            <w:top w:val="none" w:sz="0" w:space="0" w:color="auto"/>
            <w:left w:val="none" w:sz="0" w:space="0" w:color="auto"/>
            <w:bottom w:val="none" w:sz="0" w:space="0" w:color="auto"/>
            <w:right w:val="none" w:sz="0" w:space="0" w:color="auto"/>
          </w:divBdr>
        </w:div>
        <w:div w:id="2141415122">
          <w:marLeft w:val="0"/>
          <w:marRight w:val="0"/>
          <w:marTop w:val="0"/>
          <w:marBottom w:val="0"/>
          <w:divBdr>
            <w:top w:val="none" w:sz="0" w:space="0" w:color="auto"/>
            <w:left w:val="none" w:sz="0" w:space="0" w:color="auto"/>
            <w:bottom w:val="none" w:sz="0" w:space="0" w:color="auto"/>
            <w:right w:val="none" w:sz="0" w:space="0" w:color="auto"/>
          </w:divBdr>
        </w:div>
        <w:div w:id="811679964">
          <w:marLeft w:val="0"/>
          <w:marRight w:val="0"/>
          <w:marTop w:val="0"/>
          <w:marBottom w:val="0"/>
          <w:divBdr>
            <w:top w:val="none" w:sz="0" w:space="0" w:color="auto"/>
            <w:left w:val="none" w:sz="0" w:space="0" w:color="auto"/>
            <w:bottom w:val="none" w:sz="0" w:space="0" w:color="auto"/>
            <w:right w:val="none" w:sz="0" w:space="0" w:color="auto"/>
          </w:divBdr>
        </w:div>
        <w:div w:id="1247616384">
          <w:marLeft w:val="0"/>
          <w:marRight w:val="0"/>
          <w:marTop w:val="0"/>
          <w:marBottom w:val="0"/>
          <w:divBdr>
            <w:top w:val="none" w:sz="0" w:space="0" w:color="auto"/>
            <w:left w:val="none" w:sz="0" w:space="0" w:color="auto"/>
            <w:bottom w:val="none" w:sz="0" w:space="0" w:color="auto"/>
            <w:right w:val="none" w:sz="0" w:space="0" w:color="auto"/>
          </w:divBdr>
        </w:div>
        <w:div w:id="1074233199">
          <w:marLeft w:val="0"/>
          <w:marRight w:val="0"/>
          <w:marTop w:val="0"/>
          <w:marBottom w:val="0"/>
          <w:divBdr>
            <w:top w:val="none" w:sz="0" w:space="0" w:color="auto"/>
            <w:left w:val="none" w:sz="0" w:space="0" w:color="auto"/>
            <w:bottom w:val="none" w:sz="0" w:space="0" w:color="auto"/>
            <w:right w:val="none" w:sz="0" w:space="0" w:color="auto"/>
          </w:divBdr>
        </w:div>
        <w:div w:id="87238372">
          <w:marLeft w:val="0"/>
          <w:marRight w:val="0"/>
          <w:marTop w:val="0"/>
          <w:marBottom w:val="0"/>
          <w:divBdr>
            <w:top w:val="none" w:sz="0" w:space="0" w:color="auto"/>
            <w:left w:val="none" w:sz="0" w:space="0" w:color="auto"/>
            <w:bottom w:val="none" w:sz="0" w:space="0" w:color="auto"/>
            <w:right w:val="none" w:sz="0" w:space="0" w:color="auto"/>
          </w:divBdr>
        </w:div>
        <w:div w:id="430973408">
          <w:marLeft w:val="0"/>
          <w:marRight w:val="0"/>
          <w:marTop w:val="0"/>
          <w:marBottom w:val="0"/>
          <w:divBdr>
            <w:top w:val="none" w:sz="0" w:space="0" w:color="auto"/>
            <w:left w:val="none" w:sz="0" w:space="0" w:color="auto"/>
            <w:bottom w:val="none" w:sz="0" w:space="0" w:color="auto"/>
            <w:right w:val="none" w:sz="0" w:space="0" w:color="auto"/>
          </w:divBdr>
        </w:div>
        <w:div w:id="616529416">
          <w:marLeft w:val="0"/>
          <w:marRight w:val="0"/>
          <w:marTop w:val="0"/>
          <w:marBottom w:val="0"/>
          <w:divBdr>
            <w:top w:val="none" w:sz="0" w:space="0" w:color="auto"/>
            <w:left w:val="none" w:sz="0" w:space="0" w:color="auto"/>
            <w:bottom w:val="none" w:sz="0" w:space="0" w:color="auto"/>
            <w:right w:val="none" w:sz="0" w:space="0" w:color="auto"/>
          </w:divBdr>
        </w:div>
        <w:div w:id="713846210">
          <w:marLeft w:val="0"/>
          <w:marRight w:val="0"/>
          <w:marTop w:val="0"/>
          <w:marBottom w:val="0"/>
          <w:divBdr>
            <w:top w:val="none" w:sz="0" w:space="0" w:color="auto"/>
            <w:left w:val="none" w:sz="0" w:space="0" w:color="auto"/>
            <w:bottom w:val="none" w:sz="0" w:space="0" w:color="auto"/>
            <w:right w:val="none" w:sz="0" w:space="0" w:color="auto"/>
          </w:divBdr>
        </w:div>
        <w:div w:id="1391727831">
          <w:marLeft w:val="0"/>
          <w:marRight w:val="0"/>
          <w:marTop w:val="0"/>
          <w:marBottom w:val="0"/>
          <w:divBdr>
            <w:top w:val="none" w:sz="0" w:space="0" w:color="auto"/>
            <w:left w:val="none" w:sz="0" w:space="0" w:color="auto"/>
            <w:bottom w:val="none" w:sz="0" w:space="0" w:color="auto"/>
            <w:right w:val="none" w:sz="0" w:space="0" w:color="auto"/>
          </w:divBdr>
        </w:div>
        <w:div w:id="192429568">
          <w:marLeft w:val="0"/>
          <w:marRight w:val="0"/>
          <w:marTop w:val="0"/>
          <w:marBottom w:val="0"/>
          <w:divBdr>
            <w:top w:val="none" w:sz="0" w:space="0" w:color="auto"/>
            <w:left w:val="none" w:sz="0" w:space="0" w:color="auto"/>
            <w:bottom w:val="none" w:sz="0" w:space="0" w:color="auto"/>
            <w:right w:val="none" w:sz="0" w:space="0" w:color="auto"/>
          </w:divBdr>
        </w:div>
        <w:div w:id="297227017">
          <w:marLeft w:val="0"/>
          <w:marRight w:val="0"/>
          <w:marTop w:val="0"/>
          <w:marBottom w:val="0"/>
          <w:divBdr>
            <w:top w:val="none" w:sz="0" w:space="0" w:color="auto"/>
            <w:left w:val="none" w:sz="0" w:space="0" w:color="auto"/>
            <w:bottom w:val="none" w:sz="0" w:space="0" w:color="auto"/>
            <w:right w:val="none" w:sz="0" w:space="0" w:color="auto"/>
          </w:divBdr>
        </w:div>
        <w:div w:id="376667267">
          <w:marLeft w:val="0"/>
          <w:marRight w:val="0"/>
          <w:marTop w:val="0"/>
          <w:marBottom w:val="0"/>
          <w:divBdr>
            <w:top w:val="none" w:sz="0" w:space="0" w:color="auto"/>
            <w:left w:val="none" w:sz="0" w:space="0" w:color="auto"/>
            <w:bottom w:val="none" w:sz="0" w:space="0" w:color="auto"/>
            <w:right w:val="none" w:sz="0" w:space="0" w:color="auto"/>
          </w:divBdr>
        </w:div>
        <w:div w:id="1391536501">
          <w:marLeft w:val="0"/>
          <w:marRight w:val="0"/>
          <w:marTop w:val="0"/>
          <w:marBottom w:val="0"/>
          <w:divBdr>
            <w:top w:val="none" w:sz="0" w:space="0" w:color="auto"/>
            <w:left w:val="none" w:sz="0" w:space="0" w:color="auto"/>
            <w:bottom w:val="none" w:sz="0" w:space="0" w:color="auto"/>
            <w:right w:val="none" w:sz="0" w:space="0" w:color="auto"/>
          </w:divBdr>
        </w:div>
        <w:div w:id="330182066">
          <w:marLeft w:val="0"/>
          <w:marRight w:val="0"/>
          <w:marTop w:val="0"/>
          <w:marBottom w:val="0"/>
          <w:divBdr>
            <w:top w:val="none" w:sz="0" w:space="0" w:color="auto"/>
            <w:left w:val="none" w:sz="0" w:space="0" w:color="auto"/>
            <w:bottom w:val="none" w:sz="0" w:space="0" w:color="auto"/>
            <w:right w:val="none" w:sz="0" w:space="0" w:color="auto"/>
          </w:divBdr>
        </w:div>
        <w:div w:id="229652614">
          <w:marLeft w:val="0"/>
          <w:marRight w:val="0"/>
          <w:marTop w:val="0"/>
          <w:marBottom w:val="0"/>
          <w:divBdr>
            <w:top w:val="none" w:sz="0" w:space="0" w:color="auto"/>
            <w:left w:val="none" w:sz="0" w:space="0" w:color="auto"/>
            <w:bottom w:val="none" w:sz="0" w:space="0" w:color="auto"/>
            <w:right w:val="none" w:sz="0" w:space="0" w:color="auto"/>
          </w:divBdr>
        </w:div>
        <w:div w:id="198520223">
          <w:marLeft w:val="0"/>
          <w:marRight w:val="0"/>
          <w:marTop w:val="0"/>
          <w:marBottom w:val="0"/>
          <w:divBdr>
            <w:top w:val="none" w:sz="0" w:space="0" w:color="auto"/>
            <w:left w:val="none" w:sz="0" w:space="0" w:color="auto"/>
            <w:bottom w:val="none" w:sz="0" w:space="0" w:color="auto"/>
            <w:right w:val="none" w:sz="0" w:space="0" w:color="auto"/>
          </w:divBdr>
        </w:div>
        <w:div w:id="969627575">
          <w:marLeft w:val="0"/>
          <w:marRight w:val="0"/>
          <w:marTop w:val="0"/>
          <w:marBottom w:val="0"/>
          <w:divBdr>
            <w:top w:val="none" w:sz="0" w:space="0" w:color="auto"/>
            <w:left w:val="none" w:sz="0" w:space="0" w:color="auto"/>
            <w:bottom w:val="none" w:sz="0" w:space="0" w:color="auto"/>
            <w:right w:val="none" w:sz="0" w:space="0" w:color="auto"/>
          </w:divBdr>
        </w:div>
      </w:divsChild>
    </w:div>
    <w:div w:id="492183061">
      <w:bodyDiv w:val="1"/>
      <w:marLeft w:val="0"/>
      <w:marRight w:val="0"/>
      <w:marTop w:val="0"/>
      <w:marBottom w:val="0"/>
      <w:divBdr>
        <w:top w:val="none" w:sz="0" w:space="0" w:color="auto"/>
        <w:left w:val="none" w:sz="0" w:space="0" w:color="auto"/>
        <w:bottom w:val="none" w:sz="0" w:space="0" w:color="auto"/>
        <w:right w:val="none" w:sz="0" w:space="0" w:color="auto"/>
      </w:divBdr>
    </w:div>
    <w:div w:id="704255572">
      <w:bodyDiv w:val="1"/>
      <w:marLeft w:val="0"/>
      <w:marRight w:val="0"/>
      <w:marTop w:val="0"/>
      <w:marBottom w:val="0"/>
      <w:divBdr>
        <w:top w:val="none" w:sz="0" w:space="0" w:color="auto"/>
        <w:left w:val="none" w:sz="0" w:space="0" w:color="auto"/>
        <w:bottom w:val="none" w:sz="0" w:space="0" w:color="auto"/>
        <w:right w:val="none" w:sz="0" w:space="0" w:color="auto"/>
      </w:divBdr>
    </w:div>
    <w:div w:id="808983626">
      <w:bodyDiv w:val="1"/>
      <w:marLeft w:val="0"/>
      <w:marRight w:val="0"/>
      <w:marTop w:val="0"/>
      <w:marBottom w:val="0"/>
      <w:divBdr>
        <w:top w:val="none" w:sz="0" w:space="0" w:color="auto"/>
        <w:left w:val="none" w:sz="0" w:space="0" w:color="auto"/>
        <w:bottom w:val="none" w:sz="0" w:space="0" w:color="auto"/>
        <w:right w:val="none" w:sz="0" w:space="0" w:color="auto"/>
      </w:divBdr>
    </w:div>
    <w:div w:id="1114642208">
      <w:bodyDiv w:val="1"/>
      <w:marLeft w:val="0"/>
      <w:marRight w:val="0"/>
      <w:marTop w:val="0"/>
      <w:marBottom w:val="0"/>
      <w:divBdr>
        <w:top w:val="none" w:sz="0" w:space="0" w:color="auto"/>
        <w:left w:val="none" w:sz="0" w:space="0" w:color="auto"/>
        <w:bottom w:val="none" w:sz="0" w:space="0" w:color="auto"/>
        <w:right w:val="none" w:sz="0" w:space="0" w:color="auto"/>
      </w:divBdr>
    </w:div>
    <w:div w:id="1143043866">
      <w:bodyDiv w:val="1"/>
      <w:marLeft w:val="0"/>
      <w:marRight w:val="0"/>
      <w:marTop w:val="0"/>
      <w:marBottom w:val="0"/>
      <w:divBdr>
        <w:top w:val="none" w:sz="0" w:space="0" w:color="auto"/>
        <w:left w:val="none" w:sz="0" w:space="0" w:color="auto"/>
        <w:bottom w:val="none" w:sz="0" w:space="0" w:color="auto"/>
        <w:right w:val="none" w:sz="0" w:space="0" w:color="auto"/>
      </w:divBdr>
      <w:divsChild>
        <w:div w:id="250941147">
          <w:marLeft w:val="0"/>
          <w:marRight w:val="0"/>
          <w:marTop w:val="0"/>
          <w:marBottom w:val="0"/>
          <w:divBdr>
            <w:top w:val="none" w:sz="0" w:space="0" w:color="auto"/>
            <w:left w:val="none" w:sz="0" w:space="0" w:color="auto"/>
            <w:bottom w:val="none" w:sz="0" w:space="0" w:color="auto"/>
            <w:right w:val="none" w:sz="0" w:space="0" w:color="auto"/>
          </w:divBdr>
        </w:div>
        <w:div w:id="1833909010">
          <w:marLeft w:val="0"/>
          <w:marRight w:val="0"/>
          <w:marTop w:val="0"/>
          <w:marBottom w:val="0"/>
          <w:divBdr>
            <w:top w:val="none" w:sz="0" w:space="0" w:color="auto"/>
            <w:left w:val="none" w:sz="0" w:space="0" w:color="auto"/>
            <w:bottom w:val="none" w:sz="0" w:space="0" w:color="auto"/>
            <w:right w:val="none" w:sz="0" w:space="0" w:color="auto"/>
          </w:divBdr>
        </w:div>
        <w:div w:id="962690447">
          <w:marLeft w:val="0"/>
          <w:marRight w:val="0"/>
          <w:marTop w:val="0"/>
          <w:marBottom w:val="0"/>
          <w:divBdr>
            <w:top w:val="none" w:sz="0" w:space="0" w:color="auto"/>
            <w:left w:val="none" w:sz="0" w:space="0" w:color="auto"/>
            <w:bottom w:val="none" w:sz="0" w:space="0" w:color="auto"/>
            <w:right w:val="none" w:sz="0" w:space="0" w:color="auto"/>
          </w:divBdr>
        </w:div>
        <w:div w:id="1912039944">
          <w:marLeft w:val="0"/>
          <w:marRight w:val="0"/>
          <w:marTop w:val="0"/>
          <w:marBottom w:val="0"/>
          <w:divBdr>
            <w:top w:val="none" w:sz="0" w:space="0" w:color="auto"/>
            <w:left w:val="none" w:sz="0" w:space="0" w:color="auto"/>
            <w:bottom w:val="none" w:sz="0" w:space="0" w:color="auto"/>
            <w:right w:val="none" w:sz="0" w:space="0" w:color="auto"/>
          </w:divBdr>
        </w:div>
        <w:div w:id="1564366594">
          <w:marLeft w:val="0"/>
          <w:marRight w:val="0"/>
          <w:marTop w:val="0"/>
          <w:marBottom w:val="0"/>
          <w:divBdr>
            <w:top w:val="none" w:sz="0" w:space="0" w:color="auto"/>
            <w:left w:val="none" w:sz="0" w:space="0" w:color="auto"/>
            <w:bottom w:val="none" w:sz="0" w:space="0" w:color="auto"/>
            <w:right w:val="none" w:sz="0" w:space="0" w:color="auto"/>
          </w:divBdr>
        </w:div>
        <w:div w:id="1990472507">
          <w:marLeft w:val="0"/>
          <w:marRight w:val="0"/>
          <w:marTop w:val="0"/>
          <w:marBottom w:val="0"/>
          <w:divBdr>
            <w:top w:val="none" w:sz="0" w:space="0" w:color="auto"/>
            <w:left w:val="none" w:sz="0" w:space="0" w:color="auto"/>
            <w:bottom w:val="none" w:sz="0" w:space="0" w:color="auto"/>
            <w:right w:val="none" w:sz="0" w:space="0" w:color="auto"/>
          </w:divBdr>
        </w:div>
        <w:div w:id="79640048">
          <w:marLeft w:val="0"/>
          <w:marRight w:val="0"/>
          <w:marTop w:val="0"/>
          <w:marBottom w:val="0"/>
          <w:divBdr>
            <w:top w:val="none" w:sz="0" w:space="0" w:color="auto"/>
            <w:left w:val="none" w:sz="0" w:space="0" w:color="auto"/>
            <w:bottom w:val="none" w:sz="0" w:space="0" w:color="auto"/>
            <w:right w:val="none" w:sz="0" w:space="0" w:color="auto"/>
          </w:divBdr>
        </w:div>
        <w:div w:id="1223296408">
          <w:marLeft w:val="0"/>
          <w:marRight w:val="0"/>
          <w:marTop w:val="0"/>
          <w:marBottom w:val="0"/>
          <w:divBdr>
            <w:top w:val="none" w:sz="0" w:space="0" w:color="auto"/>
            <w:left w:val="none" w:sz="0" w:space="0" w:color="auto"/>
            <w:bottom w:val="none" w:sz="0" w:space="0" w:color="auto"/>
            <w:right w:val="none" w:sz="0" w:space="0" w:color="auto"/>
          </w:divBdr>
        </w:div>
        <w:div w:id="499664693">
          <w:marLeft w:val="0"/>
          <w:marRight w:val="0"/>
          <w:marTop w:val="0"/>
          <w:marBottom w:val="0"/>
          <w:divBdr>
            <w:top w:val="none" w:sz="0" w:space="0" w:color="auto"/>
            <w:left w:val="none" w:sz="0" w:space="0" w:color="auto"/>
            <w:bottom w:val="none" w:sz="0" w:space="0" w:color="auto"/>
            <w:right w:val="none" w:sz="0" w:space="0" w:color="auto"/>
          </w:divBdr>
        </w:div>
        <w:div w:id="1722711583">
          <w:marLeft w:val="0"/>
          <w:marRight w:val="0"/>
          <w:marTop w:val="0"/>
          <w:marBottom w:val="0"/>
          <w:divBdr>
            <w:top w:val="none" w:sz="0" w:space="0" w:color="auto"/>
            <w:left w:val="none" w:sz="0" w:space="0" w:color="auto"/>
            <w:bottom w:val="none" w:sz="0" w:space="0" w:color="auto"/>
            <w:right w:val="none" w:sz="0" w:space="0" w:color="auto"/>
          </w:divBdr>
        </w:div>
        <w:div w:id="673579595">
          <w:marLeft w:val="0"/>
          <w:marRight w:val="0"/>
          <w:marTop w:val="0"/>
          <w:marBottom w:val="0"/>
          <w:divBdr>
            <w:top w:val="none" w:sz="0" w:space="0" w:color="auto"/>
            <w:left w:val="none" w:sz="0" w:space="0" w:color="auto"/>
            <w:bottom w:val="none" w:sz="0" w:space="0" w:color="auto"/>
            <w:right w:val="none" w:sz="0" w:space="0" w:color="auto"/>
          </w:divBdr>
        </w:div>
        <w:div w:id="2130974930">
          <w:marLeft w:val="0"/>
          <w:marRight w:val="0"/>
          <w:marTop w:val="0"/>
          <w:marBottom w:val="0"/>
          <w:divBdr>
            <w:top w:val="none" w:sz="0" w:space="0" w:color="auto"/>
            <w:left w:val="none" w:sz="0" w:space="0" w:color="auto"/>
            <w:bottom w:val="none" w:sz="0" w:space="0" w:color="auto"/>
            <w:right w:val="none" w:sz="0" w:space="0" w:color="auto"/>
          </w:divBdr>
        </w:div>
      </w:divsChild>
    </w:div>
    <w:div w:id="1190727180">
      <w:bodyDiv w:val="1"/>
      <w:marLeft w:val="0"/>
      <w:marRight w:val="0"/>
      <w:marTop w:val="0"/>
      <w:marBottom w:val="0"/>
      <w:divBdr>
        <w:top w:val="none" w:sz="0" w:space="0" w:color="auto"/>
        <w:left w:val="none" w:sz="0" w:space="0" w:color="auto"/>
        <w:bottom w:val="none" w:sz="0" w:space="0" w:color="auto"/>
        <w:right w:val="none" w:sz="0" w:space="0" w:color="auto"/>
      </w:divBdr>
      <w:divsChild>
        <w:div w:id="543954395">
          <w:marLeft w:val="0"/>
          <w:marRight w:val="0"/>
          <w:marTop w:val="0"/>
          <w:marBottom w:val="0"/>
          <w:divBdr>
            <w:top w:val="none" w:sz="0" w:space="0" w:color="auto"/>
            <w:left w:val="none" w:sz="0" w:space="0" w:color="auto"/>
            <w:bottom w:val="none" w:sz="0" w:space="0" w:color="auto"/>
            <w:right w:val="none" w:sz="0" w:space="0" w:color="auto"/>
          </w:divBdr>
          <w:divsChild>
            <w:div w:id="1176505499">
              <w:marLeft w:val="0"/>
              <w:marRight w:val="0"/>
              <w:marTop w:val="0"/>
              <w:marBottom w:val="0"/>
              <w:divBdr>
                <w:top w:val="none" w:sz="0" w:space="0" w:color="auto"/>
                <w:left w:val="none" w:sz="0" w:space="0" w:color="auto"/>
                <w:bottom w:val="none" w:sz="0" w:space="0" w:color="auto"/>
                <w:right w:val="none" w:sz="0" w:space="0" w:color="auto"/>
              </w:divBdr>
              <w:divsChild>
                <w:div w:id="1233731370">
                  <w:marLeft w:val="0"/>
                  <w:marRight w:val="0"/>
                  <w:marTop w:val="0"/>
                  <w:marBottom w:val="0"/>
                  <w:divBdr>
                    <w:top w:val="none" w:sz="0" w:space="0" w:color="auto"/>
                    <w:left w:val="none" w:sz="0" w:space="0" w:color="auto"/>
                    <w:bottom w:val="none" w:sz="0" w:space="0" w:color="auto"/>
                    <w:right w:val="none" w:sz="0" w:space="0" w:color="auto"/>
                  </w:divBdr>
                </w:div>
              </w:divsChild>
            </w:div>
            <w:div w:id="61295041">
              <w:marLeft w:val="0"/>
              <w:marRight w:val="0"/>
              <w:marTop w:val="0"/>
              <w:marBottom w:val="0"/>
              <w:divBdr>
                <w:top w:val="none" w:sz="0" w:space="0" w:color="auto"/>
                <w:left w:val="none" w:sz="0" w:space="0" w:color="auto"/>
                <w:bottom w:val="none" w:sz="0" w:space="0" w:color="auto"/>
                <w:right w:val="none" w:sz="0" w:space="0" w:color="auto"/>
              </w:divBdr>
              <w:divsChild>
                <w:div w:id="8632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582">
          <w:marLeft w:val="0"/>
          <w:marRight w:val="0"/>
          <w:marTop w:val="0"/>
          <w:marBottom w:val="0"/>
          <w:divBdr>
            <w:top w:val="none" w:sz="0" w:space="0" w:color="auto"/>
            <w:left w:val="none" w:sz="0" w:space="0" w:color="auto"/>
            <w:bottom w:val="none" w:sz="0" w:space="0" w:color="auto"/>
            <w:right w:val="none" w:sz="0" w:space="0" w:color="auto"/>
          </w:divBdr>
        </w:div>
      </w:divsChild>
    </w:div>
    <w:div w:id="1390575043">
      <w:bodyDiv w:val="1"/>
      <w:marLeft w:val="0"/>
      <w:marRight w:val="0"/>
      <w:marTop w:val="0"/>
      <w:marBottom w:val="0"/>
      <w:divBdr>
        <w:top w:val="none" w:sz="0" w:space="0" w:color="auto"/>
        <w:left w:val="none" w:sz="0" w:space="0" w:color="auto"/>
        <w:bottom w:val="none" w:sz="0" w:space="0" w:color="auto"/>
        <w:right w:val="none" w:sz="0" w:space="0" w:color="auto"/>
      </w:divBdr>
      <w:divsChild>
        <w:div w:id="554776419">
          <w:marLeft w:val="0"/>
          <w:marRight w:val="0"/>
          <w:marTop w:val="0"/>
          <w:marBottom w:val="0"/>
          <w:divBdr>
            <w:top w:val="none" w:sz="0" w:space="0" w:color="auto"/>
            <w:left w:val="none" w:sz="0" w:space="0" w:color="auto"/>
            <w:bottom w:val="none" w:sz="0" w:space="0" w:color="auto"/>
            <w:right w:val="none" w:sz="0" w:space="0" w:color="auto"/>
          </w:divBdr>
        </w:div>
        <w:div w:id="1462112238">
          <w:marLeft w:val="0"/>
          <w:marRight w:val="0"/>
          <w:marTop w:val="0"/>
          <w:marBottom w:val="0"/>
          <w:divBdr>
            <w:top w:val="none" w:sz="0" w:space="0" w:color="auto"/>
            <w:left w:val="none" w:sz="0" w:space="0" w:color="auto"/>
            <w:bottom w:val="none" w:sz="0" w:space="0" w:color="auto"/>
            <w:right w:val="none" w:sz="0" w:space="0" w:color="auto"/>
          </w:divBdr>
        </w:div>
        <w:div w:id="434516316">
          <w:marLeft w:val="0"/>
          <w:marRight w:val="0"/>
          <w:marTop w:val="0"/>
          <w:marBottom w:val="0"/>
          <w:divBdr>
            <w:top w:val="none" w:sz="0" w:space="0" w:color="auto"/>
            <w:left w:val="none" w:sz="0" w:space="0" w:color="auto"/>
            <w:bottom w:val="none" w:sz="0" w:space="0" w:color="auto"/>
            <w:right w:val="none" w:sz="0" w:space="0" w:color="auto"/>
          </w:divBdr>
        </w:div>
        <w:div w:id="620452408">
          <w:marLeft w:val="0"/>
          <w:marRight w:val="0"/>
          <w:marTop w:val="0"/>
          <w:marBottom w:val="0"/>
          <w:divBdr>
            <w:top w:val="none" w:sz="0" w:space="0" w:color="auto"/>
            <w:left w:val="none" w:sz="0" w:space="0" w:color="auto"/>
            <w:bottom w:val="none" w:sz="0" w:space="0" w:color="auto"/>
            <w:right w:val="none" w:sz="0" w:space="0" w:color="auto"/>
          </w:divBdr>
        </w:div>
        <w:div w:id="1048603337">
          <w:marLeft w:val="0"/>
          <w:marRight w:val="0"/>
          <w:marTop w:val="0"/>
          <w:marBottom w:val="0"/>
          <w:divBdr>
            <w:top w:val="none" w:sz="0" w:space="0" w:color="auto"/>
            <w:left w:val="none" w:sz="0" w:space="0" w:color="auto"/>
            <w:bottom w:val="none" w:sz="0" w:space="0" w:color="auto"/>
            <w:right w:val="none" w:sz="0" w:space="0" w:color="auto"/>
          </w:divBdr>
        </w:div>
        <w:div w:id="1038823617">
          <w:marLeft w:val="0"/>
          <w:marRight w:val="0"/>
          <w:marTop w:val="0"/>
          <w:marBottom w:val="0"/>
          <w:divBdr>
            <w:top w:val="none" w:sz="0" w:space="0" w:color="auto"/>
            <w:left w:val="none" w:sz="0" w:space="0" w:color="auto"/>
            <w:bottom w:val="none" w:sz="0" w:space="0" w:color="auto"/>
            <w:right w:val="none" w:sz="0" w:space="0" w:color="auto"/>
          </w:divBdr>
        </w:div>
        <w:div w:id="1962295495">
          <w:marLeft w:val="0"/>
          <w:marRight w:val="0"/>
          <w:marTop w:val="0"/>
          <w:marBottom w:val="0"/>
          <w:divBdr>
            <w:top w:val="none" w:sz="0" w:space="0" w:color="auto"/>
            <w:left w:val="none" w:sz="0" w:space="0" w:color="auto"/>
            <w:bottom w:val="none" w:sz="0" w:space="0" w:color="auto"/>
            <w:right w:val="none" w:sz="0" w:space="0" w:color="auto"/>
          </w:divBdr>
        </w:div>
        <w:div w:id="962417490">
          <w:marLeft w:val="0"/>
          <w:marRight w:val="0"/>
          <w:marTop w:val="0"/>
          <w:marBottom w:val="0"/>
          <w:divBdr>
            <w:top w:val="none" w:sz="0" w:space="0" w:color="auto"/>
            <w:left w:val="none" w:sz="0" w:space="0" w:color="auto"/>
            <w:bottom w:val="none" w:sz="0" w:space="0" w:color="auto"/>
            <w:right w:val="none" w:sz="0" w:space="0" w:color="auto"/>
          </w:divBdr>
        </w:div>
        <w:div w:id="422996250">
          <w:marLeft w:val="0"/>
          <w:marRight w:val="0"/>
          <w:marTop w:val="0"/>
          <w:marBottom w:val="0"/>
          <w:divBdr>
            <w:top w:val="none" w:sz="0" w:space="0" w:color="auto"/>
            <w:left w:val="none" w:sz="0" w:space="0" w:color="auto"/>
            <w:bottom w:val="none" w:sz="0" w:space="0" w:color="auto"/>
            <w:right w:val="none" w:sz="0" w:space="0" w:color="auto"/>
          </w:divBdr>
        </w:div>
        <w:div w:id="807093639">
          <w:marLeft w:val="0"/>
          <w:marRight w:val="0"/>
          <w:marTop w:val="0"/>
          <w:marBottom w:val="0"/>
          <w:divBdr>
            <w:top w:val="none" w:sz="0" w:space="0" w:color="auto"/>
            <w:left w:val="none" w:sz="0" w:space="0" w:color="auto"/>
            <w:bottom w:val="none" w:sz="0" w:space="0" w:color="auto"/>
            <w:right w:val="none" w:sz="0" w:space="0" w:color="auto"/>
          </w:divBdr>
        </w:div>
        <w:div w:id="1542938263">
          <w:marLeft w:val="0"/>
          <w:marRight w:val="0"/>
          <w:marTop w:val="0"/>
          <w:marBottom w:val="0"/>
          <w:divBdr>
            <w:top w:val="none" w:sz="0" w:space="0" w:color="auto"/>
            <w:left w:val="none" w:sz="0" w:space="0" w:color="auto"/>
            <w:bottom w:val="none" w:sz="0" w:space="0" w:color="auto"/>
            <w:right w:val="none" w:sz="0" w:space="0" w:color="auto"/>
          </w:divBdr>
        </w:div>
        <w:div w:id="1982036867">
          <w:marLeft w:val="0"/>
          <w:marRight w:val="0"/>
          <w:marTop w:val="0"/>
          <w:marBottom w:val="0"/>
          <w:divBdr>
            <w:top w:val="none" w:sz="0" w:space="0" w:color="auto"/>
            <w:left w:val="none" w:sz="0" w:space="0" w:color="auto"/>
            <w:bottom w:val="none" w:sz="0" w:space="0" w:color="auto"/>
            <w:right w:val="none" w:sz="0" w:space="0" w:color="auto"/>
          </w:divBdr>
        </w:div>
        <w:div w:id="1892843388">
          <w:marLeft w:val="0"/>
          <w:marRight w:val="0"/>
          <w:marTop w:val="0"/>
          <w:marBottom w:val="0"/>
          <w:divBdr>
            <w:top w:val="none" w:sz="0" w:space="0" w:color="auto"/>
            <w:left w:val="none" w:sz="0" w:space="0" w:color="auto"/>
            <w:bottom w:val="none" w:sz="0" w:space="0" w:color="auto"/>
            <w:right w:val="none" w:sz="0" w:space="0" w:color="auto"/>
          </w:divBdr>
        </w:div>
        <w:div w:id="1707755027">
          <w:marLeft w:val="0"/>
          <w:marRight w:val="0"/>
          <w:marTop w:val="0"/>
          <w:marBottom w:val="0"/>
          <w:divBdr>
            <w:top w:val="none" w:sz="0" w:space="0" w:color="auto"/>
            <w:left w:val="none" w:sz="0" w:space="0" w:color="auto"/>
            <w:bottom w:val="none" w:sz="0" w:space="0" w:color="auto"/>
            <w:right w:val="none" w:sz="0" w:space="0" w:color="auto"/>
          </w:divBdr>
        </w:div>
      </w:divsChild>
    </w:div>
    <w:div w:id="1622376051">
      <w:bodyDiv w:val="1"/>
      <w:marLeft w:val="0"/>
      <w:marRight w:val="0"/>
      <w:marTop w:val="0"/>
      <w:marBottom w:val="0"/>
      <w:divBdr>
        <w:top w:val="none" w:sz="0" w:space="0" w:color="auto"/>
        <w:left w:val="none" w:sz="0" w:space="0" w:color="auto"/>
        <w:bottom w:val="none" w:sz="0" w:space="0" w:color="auto"/>
        <w:right w:val="none" w:sz="0" w:space="0" w:color="auto"/>
      </w:divBdr>
    </w:div>
    <w:div w:id="1809273860">
      <w:bodyDiv w:val="1"/>
      <w:marLeft w:val="0"/>
      <w:marRight w:val="0"/>
      <w:marTop w:val="0"/>
      <w:marBottom w:val="0"/>
      <w:divBdr>
        <w:top w:val="none" w:sz="0" w:space="0" w:color="auto"/>
        <w:left w:val="none" w:sz="0" w:space="0" w:color="auto"/>
        <w:bottom w:val="none" w:sz="0" w:space="0" w:color="auto"/>
        <w:right w:val="none" w:sz="0" w:space="0" w:color="auto"/>
      </w:divBdr>
    </w:div>
    <w:div w:id="1839955455">
      <w:bodyDiv w:val="1"/>
      <w:marLeft w:val="0"/>
      <w:marRight w:val="0"/>
      <w:marTop w:val="0"/>
      <w:marBottom w:val="0"/>
      <w:divBdr>
        <w:top w:val="none" w:sz="0" w:space="0" w:color="auto"/>
        <w:left w:val="none" w:sz="0" w:space="0" w:color="auto"/>
        <w:bottom w:val="none" w:sz="0" w:space="0" w:color="auto"/>
        <w:right w:val="none" w:sz="0" w:space="0" w:color="auto"/>
      </w:divBdr>
      <w:divsChild>
        <w:div w:id="106044648">
          <w:marLeft w:val="0"/>
          <w:marRight w:val="0"/>
          <w:marTop w:val="0"/>
          <w:marBottom w:val="0"/>
          <w:divBdr>
            <w:top w:val="none" w:sz="0" w:space="0" w:color="auto"/>
            <w:left w:val="none" w:sz="0" w:space="0" w:color="auto"/>
            <w:bottom w:val="none" w:sz="0" w:space="0" w:color="auto"/>
            <w:right w:val="none" w:sz="0" w:space="0" w:color="auto"/>
          </w:divBdr>
        </w:div>
        <w:div w:id="1968968690">
          <w:marLeft w:val="0"/>
          <w:marRight w:val="0"/>
          <w:marTop w:val="0"/>
          <w:marBottom w:val="0"/>
          <w:divBdr>
            <w:top w:val="none" w:sz="0" w:space="0" w:color="auto"/>
            <w:left w:val="none" w:sz="0" w:space="0" w:color="auto"/>
            <w:bottom w:val="none" w:sz="0" w:space="0" w:color="auto"/>
            <w:right w:val="none" w:sz="0" w:space="0" w:color="auto"/>
          </w:divBdr>
        </w:div>
        <w:div w:id="768815293">
          <w:marLeft w:val="0"/>
          <w:marRight w:val="0"/>
          <w:marTop w:val="0"/>
          <w:marBottom w:val="0"/>
          <w:divBdr>
            <w:top w:val="none" w:sz="0" w:space="0" w:color="auto"/>
            <w:left w:val="none" w:sz="0" w:space="0" w:color="auto"/>
            <w:bottom w:val="none" w:sz="0" w:space="0" w:color="auto"/>
            <w:right w:val="none" w:sz="0" w:space="0" w:color="auto"/>
          </w:divBdr>
        </w:div>
        <w:div w:id="1355038633">
          <w:marLeft w:val="0"/>
          <w:marRight w:val="0"/>
          <w:marTop w:val="0"/>
          <w:marBottom w:val="0"/>
          <w:divBdr>
            <w:top w:val="none" w:sz="0" w:space="0" w:color="auto"/>
            <w:left w:val="none" w:sz="0" w:space="0" w:color="auto"/>
            <w:bottom w:val="none" w:sz="0" w:space="0" w:color="auto"/>
            <w:right w:val="none" w:sz="0" w:space="0" w:color="auto"/>
          </w:divBdr>
        </w:div>
        <w:div w:id="1146632524">
          <w:marLeft w:val="0"/>
          <w:marRight w:val="0"/>
          <w:marTop w:val="0"/>
          <w:marBottom w:val="0"/>
          <w:divBdr>
            <w:top w:val="none" w:sz="0" w:space="0" w:color="auto"/>
            <w:left w:val="none" w:sz="0" w:space="0" w:color="auto"/>
            <w:bottom w:val="none" w:sz="0" w:space="0" w:color="auto"/>
            <w:right w:val="none" w:sz="0" w:space="0" w:color="auto"/>
          </w:divBdr>
        </w:div>
        <w:div w:id="1014188024">
          <w:marLeft w:val="0"/>
          <w:marRight w:val="0"/>
          <w:marTop w:val="0"/>
          <w:marBottom w:val="0"/>
          <w:divBdr>
            <w:top w:val="none" w:sz="0" w:space="0" w:color="auto"/>
            <w:left w:val="none" w:sz="0" w:space="0" w:color="auto"/>
            <w:bottom w:val="none" w:sz="0" w:space="0" w:color="auto"/>
            <w:right w:val="none" w:sz="0" w:space="0" w:color="auto"/>
          </w:divBdr>
        </w:div>
        <w:div w:id="561986252">
          <w:marLeft w:val="0"/>
          <w:marRight w:val="0"/>
          <w:marTop w:val="0"/>
          <w:marBottom w:val="0"/>
          <w:divBdr>
            <w:top w:val="none" w:sz="0" w:space="0" w:color="auto"/>
            <w:left w:val="none" w:sz="0" w:space="0" w:color="auto"/>
            <w:bottom w:val="none" w:sz="0" w:space="0" w:color="auto"/>
            <w:right w:val="none" w:sz="0" w:space="0" w:color="auto"/>
          </w:divBdr>
        </w:div>
        <w:div w:id="1249117578">
          <w:marLeft w:val="0"/>
          <w:marRight w:val="0"/>
          <w:marTop w:val="0"/>
          <w:marBottom w:val="0"/>
          <w:divBdr>
            <w:top w:val="none" w:sz="0" w:space="0" w:color="auto"/>
            <w:left w:val="none" w:sz="0" w:space="0" w:color="auto"/>
            <w:bottom w:val="none" w:sz="0" w:space="0" w:color="auto"/>
            <w:right w:val="none" w:sz="0" w:space="0" w:color="auto"/>
          </w:divBdr>
        </w:div>
        <w:div w:id="140120265">
          <w:marLeft w:val="0"/>
          <w:marRight w:val="0"/>
          <w:marTop w:val="0"/>
          <w:marBottom w:val="0"/>
          <w:divBdr>
            <w:top w:val="none" w:sz="0" w:space="0" w:color="auto"/>
            <w:left w:val="none" w:sz="0" w:space="0" w:color="auto"/>
            <w:bottom w:val="none" w:sz="0" w:space="0" w:color="auto"/>
            <w:right w:val="none" w:sz="0" w:space="0" w:color="auto"/>
          </w:divBdr>
        </w:div>
        <w:div w:id="1843348500">
          <w:marLeft w:val="0"/>
          <w:marRight w:val="0"/>
          <w:marTop w:val="0"/>
          <w:marBottom w:val="0"/>
          <w:divBdr>
            <w:top w:val="none" w:sz="0" w:space="0" w:color="auto"/>
            <w:left w:val="none" w:sz="0" w:space="0" w:color="auto"/>
            <w:bottom w:val="none" w:sz="0" w:space="0" w:color="auto"/>
            <w:right w:val="none" w:sz="0" w:space="0" w:color="auto"/>
          </w:divBdr>
        </w:div>
        <w:div w:id="1254509103">
          <w:marLeft w:val="0"/>
          <w:marRight w:val="0"/>
          <w:marTop w:val="0"/>
          <w:marBottom w:val="0"/>
          <w:divBdr>
            <w:top w:val="none" w:sz="0" w:space="0" w:color="auto"/>
            <w:left w:val="none" w:sz="0" w:space="0" w:color="auto"/>
            <w:bottom w:val="none" w:sz="0" w:space="0" w:color="auto"/>
            <w:right w:val="none" w:sz="0" w:space="0" w:color="auto"/>
          </w:divBdr>
        </w:div>
        <w:div w:id="359473694">
          <w:marLeft w:val="0"/>
          <w:marRight w:val="0"/>
          <w:marTop w:val="0"/>
          <w:marBottom w:val="0"/>
          <w:divBdr>
            <w:top w:val="none" w:sz="0" w:space="0" w:color="auto"/>
            <w:left w:val="none" w:sz="0" w:space="0" w:color="auto"/>
            <w:bottom w:val="none" w:sz="0" w:space="0" w:color="auto"/>
            <w:right w:val="none" w:sz="0" w:space="0" w:color="auto"/>
          </w:divBdr>
        </w:div>
        <w:div w:id="1532065215">
          <w:marLeft w:val="0"/>
          <w:marRight w:val="0"/>
          <w:marTop w:val="0"/>
          <w:marBottom w:val="0"/>
          <w:divBdr>
            <w:top w:val="none" w:sz="0" w:space="0" w:color="auto"/>
            <w:left w:val="none" w:sz="0" w:space="0" w:color="auto"/>
            <w:bottom w:val="none" w:sz="0" w:space="0" w:color="auto"/>
            <w:right w:val="none" w:sz="0" w:space="0" w:color="auto"/>
          </w:divBdr>
        </w:div>
        <w:div w:id="1111435341">
          <w:marLeft w:val="0"/>
          <w:marRight w:val="0"/>
          <w:marTop w:val="0"/>
          <w:marBottom w:val="0"/>
          <w:divBdr>
            <w:top w:val="none" w:sz="0" w:space="0" w:color="auto"/>
            <w:left w:val="none" w:sz="0" w:space="0" w:color="auto"/>
            <w:bottom w:val="none" w:sz="0" w:space="0" w:color="auto"/>
            <w:right w:val="none" w:sz="0" w:space="0" w:color="auto"/>
          </w:divBdr>
        </w:div>
        <w:div w:id="534780551">
          <w:marLeft w:val="0"/>
          <w:marRight w:val="0"/>
          <w:marTop w:val="0"/>
          <w:marBottom w:val="0"/>
          <w:divBdr>
            <w:top w:val="none" w:sz="0" w:space="0" w:color="auto"/>
            <w:left w:val="none" w:sz="0" w:space="0" w:color="auto"/>
            <w:bottom w:val="none" w:sz="0" w:space="0" w:color="auto"/>
            <w:right w:val="none" w:sz="0" w:space="0" w:color="auto"/>
          </w:divBdr>
        </w:div>
        <w:div w:id="887034901">
          <w:marLeft w:val="0"/>
          <w:marRight w:val="0"/>
          <w:marTop w:val="0"/>
          <w:marBottom w:val="0"/>
          <w:divBdr>
            <w:top w:val="none" w:sz="0" w:space="0" w:color="auto"/>
            <w:left w:val="none" w:sz="0" w:space="0" w:color="auto"/>
            <w:bottom w:val="none" w:sz="0" w:space="0" w:color="auto"/>
            <w:right w:val="none" w:sz="0" w:space="0" w:color="auto"/>
          </w:divBdr>
        </w:div>
        <w:div w:id="1724212569">
          <w:marLeft w:val="0"/>
          <w:marRight w:val="0"/>
          <w:marTop w:val="0"/>
          <w:marBottom w:val="0"/>
          <w:divBdr>
            <w:top w:val="none" w:sz="0" w:space="0" w:color="auto"/>
            <w:left w:val="none" w:sz="0" w:space="0" w:color="auto"/>
            <w:bottom w:val="none" w:sz="0" w:space="0" w:color="auto"/>
            <w:right w:val="none" w:sz="0" w:space="0" w:color="auto"/>
          </w:divBdr>
        </w:div>
        <w:div w:id="1041174126">
          <w:marLeft w:val="0"/>
          <w:marRight w:val="0"/>
          <w:marTop w:val="0"/>
          <w:marBottom w:val="0"/>
          <w:divBdr>
            <w:top w:val="none" w:sz="0" w:space="0" w:color="auto"/>
            <w:left w:val="none" w:sz="0" w:space="0" w:color="auto"/>
            <w:bottom w:val="none" w:sz="0" w:space="0" w:color="auto"/>
            <w:right w:val="none" w:sz="0" w:space="0" w:color="auto"/>
          </w:divBdr>
        </w:div>
        <w:div w:id="269119732">
          <w:marLeft w:val="0"/>
          <w:marRight w:val="0"/>
          <w:marTop w:val="0"/>
          <w:marBottom w:val="0"/>
          <w:divBdr>
            <w:top w:val="none" w:sz="0" w:space="0" w:color="auto"/>
            <w:left w:val="none" w:sz="0" w:space="0" w:color="auto"/>
            <w:bottom w:val="none" w:sz="0" w:space="0" w:color="auto"/>
            <w:right w:val="none" w:sz="0" w:space="0" w:color="auto"/>
          </w:divBdr>
        </w:div>
        <w:div w:id="1643194813">
          <w:marLeft w:val="0"/>
          <w:marRight w:val="0"/>
          <w:marTop w:val="0"/>
          <w:marBottom w:val="0"/>
          <w:divBdr>
            <w:top w:val="none" w:sz="0" w:space="0" w:color="auto"/>
            <w:left w:val="none" w:sz="0" w:space="0" w:color="auto"/>
            <w:bottom w:val="none" w:sz="0" w:space="0" w:color="auto"/>
            <w:right w:val="none" w:sz="0" w:space="0" w:color="auto"/>
          </w:divBdr>
        </w:div>
        <w:div w:id="1097864471">
          <w:marLeft w:val="0"/>
          <w:marRight w:val="0"/>
          <w:marTop w:val="0"/>
          <w:marBottom w:val="0"/>
          <w:divBdr>
            <w:top w:val="none" w:sz="0" w:space="0" w:color="auto"/>
            <w:left w:val="none" w:sz="0" w:space="0" w:color="auto"/>
            <w:bottom w:val="none" w:sz="0" w:space="0" w:color="auto"/>
            <w:right w:val="none" w:sz="0" w:space="0" w:color="auto"/>
          </w:divBdr>
        </w:div>
        <w:div w:id="56846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services.dgesip.fr/fichiers/referentiel_livret_DSI-DSI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AF6B-D945-45FD-950C-FFF57150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1025</Words>
  <Characters>6059</Characters>
  <Application>Microsoft Office Word</Application>
  <DocSecurity>0</DocSecurity>
  <Lines>168</Lines>
  <Paragraphs>124</Paragraphs>
  <ScaleCrop>false</ScaleCrop>
  <HeadingPairs>
    <vt:vector size="2" baseType="variant">
      <vt:variant>
        <vt:lpstr>Titre</vt:lpstr>
      </vt:variant>
      <vt:variant>
        <vt:i4>1</vt:i4>
      </vt:variant>
    </vt:vector>
  </HeadingPairs>
  <TitlesOfParts>
    <vt:vector size="1" baseType="lpstr">
      <vt:lpstr>Parcours de formation des directeurs(trices) des systèmes d'information (DSI) de l'enseignement supérieur et de la recherche - module 2</vt:lpstr>
    </vt:vector>
  </TitlesOfParts>
  <Company>Hewlett-Packard Company</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Parcours de formation des directeurs(trices) des systèmes d'information (DSI) de l'enseignement supérieur et de la recherche - module 2</dc:title>
  <dc:subject>Programme prévisionnel</dc:subject>
  <dc:creator>ESENESR</dc:creator>
  <cp:keywords>16NDEN0602/système d'information/SI/DSI/directeur des services d'information</cp:keywords>
  <cp:lastModifiedBy>MOCQUET Bertrand</cp:lastModifiedBy>
  <cp:revision>4</cp:revision>
  <cp:lastPrinted>2019-03-18T10:32:00Z</cp:lastPrinted>
  <dcterms:created xsi:type="dcterms:W3CDTF">2020-07-09T07:05:00Z</dcterms:created>
  <dcterms:modified xsi:type="dcterms:W3CDTF">2020-07-09T07:13:00Z</dcterms:modified>
</cp:coreProperties>
</file>